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w:t>
      </w:r>
    </w:p>
    <w:p/>
    <w:p/>
    <w:p/>
    <w:p>
      <w:pPr>
        <w:jc w:val="center"/>
        <w:rPr>
          <w:b/>
          <w:sz w:val="36"/>
          <w:szCs w:val="36"/>
        </w:rPr>
      </w:pPr>
    </w:p>
    <w:p>
      <w:pPr>
        <w:ind w:firstLine="522" w:firstLineChars="100"/>
        <w:jc w:val="center"/>
        <w:rPr>
          <w:b/>
          <w:sz w:val="52"/>
          <w:szCs w:val="52"/>
        </w:rPr>
      </w:pPr>
      <w:r>
        <w:rPr>
          <w:rFonts w:hint="eastAsia"/>
          <w:b/>
          <w:sz w:val="52"/>
          <w:szCs w:val="52"/>
        </w:rPr>
        <w:t>中粮（唐山）糖业有限公司</w:t>
      </w:r>
    </w:p>
    <w:p>
      <w:pPr>
        <w:ind w:firstLine="522" w:firstLineChars="100"/>
        <w:jc w:val="center"/>
        <w:rPr>
          <w:rFonts w:hint="eastAsia"/>
          <w:b/>
          <w:sz w:val="52"/>
          <w:szCs w:val="52"/>
          <w:lang w:eastAsia="zh-CN"/>
        </w:rPr>
      </w:pPr>
      <w:r>
        <w:rPr>
          <w:rFonts w:hint="eastAsia"/>
          <w:b/>
          <w:sz w:val="52"/>
          <w:szCs w:val="52"/>
          <w:lang w:eastAsia="zh-CN"/>
        </w:rPr>
        <w:t>数据分析平台运维服务</w:t>
      </w:r>
    </w:p>
    <w:p>
      <w:pPr>
        <w:ind w:firstLine="522" w:firstLineChars="100"/>
        <w:jc w:val="center"/>
        <w:rPr>
          <w:b/>
          <w:sz w:val="52"/>
          <w:szCs w:val="52"/>
          <w:u w:val="single"/>
        </w:rPr>
      </w:pPr>
      <w:r>
        <w:rPr>
          <w:rFonts w:hint="eastAsia"/>
          <w:b/>
          <w:sz w:val="52"/>
          <w:szCs w:val="52"/>
        </w:rPr>
        <w:t>谈判采购文件</w:t>
      </w:r>
    </w:p>
    <w:p>
      <w:pPr>
        <w:rPr>
          <w:sz w:val="36"/>
          <w:szCs w:val="36"/>
        </w:rPr>
      </w:pPr>
    </w:p>
    <w:p>
      <w:pPr>
        <w:rPr>
          <w:sz w:val="36"/>
          <w:szCs w:val="36"/>
        </w:rPr>
      </w:pPr>
    </w:p>
    <w:p/>
    <w:p/>
    <w:p/>
    <w:p/>
    <w:p/>
    <w:p/>
    <w:p/>
    <w:p/>
    <w:p/>
    <w:p/>
    <w:p/>
    <w:p/>
    <w:p/>
    <w:p/>
    <w:p/>
    <w:p/>
    <w:p>
      <w:pPr>
        <w:ind w:firstLine="1606" w:firstLineChars="500"/>
        <w:rPr>
          <w:rFonts w:asciiTheme="minorEastAsia" w:hAnsiTheme="minorEastAsia"/>
          <w:sz w:val="32"/>
          <w:szCs w:val="32"/>
          <w:u w:val="single"/>
        </w:rPr>
      </w:pPr>
      <w:r>
        <w:rPr>
          <w:rFonts w:hint="eastAsia" w:asciiTheme="minorEastAsia" w:hAnsiTheme="minorEastAsia"/>
          <w:b/>
          <w:sz w:val="32"/>
          <w:szCs w:val="32"/>
        </w:rPr>
        <w:t>招 标 人：</w:t>
      </w:r>
      <w:r>
        <w:rPr>
          <w:rFonts w:hint="eastAsia" w:asciiTheme="minorEastAsia" w:hAnsiTheme="minorEastAsia"/>
          <w:sz w:val="32"/>
          <w:szCs w:val="32"/>
          <w:u w:val="single"/>
        </w:rPr>
        <w:t>中粮（唐山）糖业有限公司</w:t>
      </w:r>
      <w:r>
        <w:rPr>
          <w:rFonts w:asciiTheme="minorEastAsia" w:hAnsiTheme="minorEastAsia"/>
          <w:sz w:val="32"/>
          <w:szCs w:val="32"/>
          <w:u w:val="single"/>
        </w:rPr>
        <w:t xml:space="preserve"> </w:t>
      </w:r>
    </w:p>
    <w:p>
      <w:pPr>
        <w:ind w:firstLine="1606" w:firstLineChars="500"/>
        <w:rPr>
          <w:rFonts w:asciiTheme="minorEastAsia" w:hAnsiTheme="minorEastAsia"/>
          <w:sz w:val="32"/>
          <w:szCs w:val="32"/>
          <w:u w:val="single"/>
        </w:rPr>
      </w:pPr>
      <w:r>
        <w:rPr>
          <w:rFonts w:hint="eastAsia" w:asciiTheme="minorEastAsia" w:hAnsiTheme="minorEastAsia"/>
          <w:b/>
          <w:sz w:val="32"/>
          <w:szCs w:val="32"/>
        </w:rPr>
        <w:t>日    期：</w:t>
      </w:r>
      <w:r>
        <w:rPr>
          <w:rFonts w:hint="eastAsia" w:asciiTheme="minorEastAsia" w:hAnsiTheme="minorEastAsia"/>
          <w:sz w:val="32"/>
          <w:szCs w:val="32"/>
          <w:u w:val="single"/>
        </w:rPr>
        <w:t>2</w:t>
      </w:r>
      <w:r>
        <w:rPr>
          <w:rFonts w:asciiTheme="minorEastAsia" w:hAnsiTheme="minorEastAsia"/>
          <w:sz w:val="32"/>
          <w:szCs w:val="32"/>
          <w:u w:val="single"/>
        </w:rPr>
        <w:t>02</w:t>
      </w:r>
      <w:r>
        <w:rPr>
          <w:rFonts w:hint="eastAsia" w:asciiTheme="minorEastAsia" w:hAnsiTheme="minorEastAsia"/>
          <w:sz w:val="32"/>
          <w:szCs w:val="32"/>
          <w:u w:val="single"/>
          <w:lang w:val="en-US" w:eastAsia="zh-CN"/>
        </w:rPr>
        <w:t>4</w:t>
      </w:r>
      <w:r>
        <w:rPr>
          <w:rFonts w:hint="eastAsia" w:asciiTheme="minorEastAsia" w:hAnsiTheme="minorEastAsia"/>
          <w:sz w:val="32"/>
          <w:szCs w:val="32"/>
          <w:u w:val="single"/>
        </w:rPr>
        <w:t>年</w:t>
      </w:r>
      <w:r>
        <w:rPr>
          <w:rFonts w:asciiTheme="minorEastAsia" w:hAnsiTheme="minorEastAsia"/>
          <w:sz w:val="32"/>
          <w:szCs w:val="32"/>
          <w:u w:val="single"/>
        </w:rPr>
        <w:t>1</w:t>
      </w:r>
      <w:r>
        <w:rPr>
          <w:rFonts w:hint="eastAsia" w:asciiTheme="minorEastAsia" w:hAnsiTheme="minorEastAsia"/>
          <w:sz w:val="32"/>
          <w:szCs w:val="32"/>
          <w:u w:val="single"/>
        </w:rPr>
        <w:t>月</w:t>
      </w:r>
    </w:p>
    <w:p>
      <w:pPr>
        <w:rPr>
          <w:sz w:val="32"/>
          <w:szCs w:val="32"/>
        </w:rPr>
      </w:pPr>
    </w:p>
    <w:p>
      <w:pPr>
        <w:rPr>
          <w:sz w:val="32"/>
          <w:szCs w:val="32"/>
        </w:rPr>
      </w:pPr>
    </w:p>
    <w:p/>
    <w:p>
      <w:pPr>
        <w:sectPr>
          <w:footerReference r:id="rId3" w:type="default"/>
          <w:pgSz w:w="11906" w:h="16838"/>
          <w:pgMar w:top="1440" w:right="1559" w:bottom="1440" w:left="1559" w:header="851" w:footer="992" w:gutter="0"/>
          <w:cols w:space="425" w:num="1"/>
          <w:docGrid w:type="lines" w:linePitch="312" w:charSpace="0"/>
        </w:sectPr>
      </w:pPr>
    </w:p>
    <w:p>
      <w:pPr>
        <w:jc w:val="center"/>
        <w:rPr>
          <w:rFonts w:ascii="Arial Unicode MS" w:eastAsia="Arial Unicode MS"/>
          <w:sz w:val="44"/>
          <w:szCs w:val="44"/>
        </w:rPr>
      </w:pPr>
      <w:r>
        <w:rPr>
          <w:rFonts w:hint="eastAsia" w:ascii="Arial Unicode MS" w:eastAsia="Arial Unicode MS"/>
          <w:sz w:val="44"/>
          <w:szCs w:val="44"/>
        </w:rPr>
        <w:t>目录</w:t>
      </w:r>
    </w:p>
    <w:p>
      <w:pPr>
        <w:jc w:val="center"/>
      </w:pPr>
    </w:p>
    <w:p>
      <w:pPr>
        <w:rPr>
          <w:rFonts w:ascii="楷体_GB2312" w:eastAsia="楷体_GB2312"/>
          <w:bCs/>
          <w:sz w:val="28"/>
          <w:szCs w:val="28"/>
        </w:rPr>
      </w:pPr>
    </w:p>
    <w:p>
      <w:pPr>
        <w:rPr>
          <w:rFonts w:ascii="楷体_GB2312" w:eastAsia="楷体_GB2312"/>
          <w:bCs/>
          <w:sz w:val="28"/>
          <w:szCs w:val="28"/>
        </w:rPr>
      </w:pPr>
    </w:p>
    <w:p>
      <w:pPr>
        <w:pStyle w:val="32"/>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谈判须知</w:t>
      </w:r>
    </w:p>
    <w:p>
      <w:pPr>
        <w:pStyle w:val="32"/>
        <w:ind w:left="1260" w:firstLine="0" w:firstLineChars="0"/>
        <w:rPr>
          <w:rFonts w:ascii="楷体_GB2312" w:eastAsia="楷体_GB2312"/>
          <w:bCs/>
          <w:sz w:val="28"/>
          <w:szCs w:val="28"/>
        </w:rPr>
      </w:pPr>
    </w:p>
    <w:p>
      <w:pPr>
        <w:pStyle w:val="32"/>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技术要求</w:t>
      </w:r>
    </w:p>
    <w:p>
      <w:pPr>
        <w:pStyle w:val="32"/>
        <w:ind w:left="1260" w:firstLine="0" w:firstLineChars="0"/>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第三章   </w:t>
      </w:r>
      <w:r>
        <w:rPr>
          <w:rFonts w:ascii="楷体_GB2312" w:eastAsia="楷体_GB2312"/>
          <w:bCs/>
          <w:sz w:val="28"/>
          <w:szCs w:val="28"/>
        </w:rPr>
        <w:t>………………………………………………………………………</w:t>
      </w:r>
      <w:r>
        <w:rPr>
          <w:rFonts w:hint="eastAsia" w:ascii="楷体_GB2312" w:eastAsia="楷体_GB2312"/>
          <w:bCs/>
          <w:sz w:val="28"/>
          <w:szCs w:val="28"/>
        </w:rPr>
        <w:t>.合同条款</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第四章   </w:t>
      </w:r>
      <w:r>
        <w:rPr>
          <w:rFonts w:ascii="楷体_GB2312" w:eastAsia="楷体_GB2312"/>
          <w:bCs/>
          <w:sz w:val="28"/>
          <w:szCs w:val="28"/>
        </w:rPr>
        <w:t>………………………………………………………………………</w:t>
      </w:r>
      <w:r>
        <w:rPr>
          <w:rFonts w:hint="eastAsia" w:ascii="楷体_GB2312" w:eastAsia="楷体_GB2312"/>
          <w:bCs/>
          <w:sz w:val="28"/>
          <w:szCs w:val="28"/>
        </w:rPr>
        <w:t>.评审方法</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第五章 </w:t>
      </w:r>
      <w:r>
        <w:rPr>
          <w:rFonts w:ascii="楷体_GB2312" w:eastAsia="楷体_GB2312"/>
          <w:bCs/>
          <w:sz w:val="28"/>
          <w:szCs w:val="28"/>
        </w:rPr>
        <w:t xml:space="preserve">  ………………………………………………………………………..</w:t>
      </w:r>
      <w:r>
        <w:rPr>
          <w:rFonts w:hint="eastAsia" w:ascii="楷体_GB2312" w:eastAsia="楷体_GB2312"/>
          <w:bCs/>
          <w:sz w:val="28"/>
          <w:szCs w:val="28"/>
        </w:rPr>
        <w:t>响应文件</w:t>
      </w:r>
    </w:p>
    <w:p>
      <w:pPr>
        <w:rPr>
          <w:rFonts w:ascii="黑体" w:hAnsi="黑体" w:eastAsia="黑体"/>
          <w:bCs/>
          <w:sz w:val="36"/>
          <w:szCs w:val="28"/>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napToGrid w:val="0"/>
        <w:spacing w:line="580" w:lineRule="exact"/>
        <w:jc w:val="center"/>
        <w:rPr>
          <w:rFonts w:ascii="仿宋_GB2312" w:hAnsi="宋体" w:eastAsia="仿宋_GB2312" w:cs="仿宋_GB2312"/>
          <w:b/>
          <w:bCs/>
          <w:sz w:val="32"/>
          <w:szCs w:val="32"/>
        </w:rPr>
      </w:pPr>
    </w:p>
    <w:p>
      <w:pPr>
        <w:snapToGrid w:val="0"/>
        <w:spacing w:line="580" w:lineRule="exact"/>
        <w:jc w:val="center"/>
        <w:rPr>
          <w:rFonts w:ascii="仿宋_GB2312" w:hAnsi="宋体" w:eastAsia="仿宋_GB2312" w:cs="仿宋_GB2312"/>
          <w:b/>
          <w:bCs/>
          <w:sz w:val="32"/>
          <w:szCs w:val="32"/>
        </w:rPr>
      </w:pPr>
    </w:p>
    <w:p>
      <w:pPr>
        <w:snapToGrid w:val="0"/>
        <w:spacing w:line="580" w:lineRule="exact"/>
        <w:rPr>
          <w:rFonts w:ascii="仿宋_GB2312" w:hAnsi="宋体" w:eastAsia="仿宋_GB2312" w:cs="仿宋_GB2312"/>
          <w:b/>
          <w:bCs/>
          <w:sz w:val="32"/>
          <w:szCs w:val="32"/>
        </w:rPr>
      </w:pPr>
    </w:p>
    <w:p>
      <w:pPr>
        <w:pStyle w:val="2"/>
        <w:jc w:val="center"/>
        <w:rPr>
          <w:rFonts w:ascii="黑体" w:eastAsia="黑体"/>
          <w:sz w:val="36"/>
          <w:szCs w:val="36"/>
        </w:rPr>
      </w:pPr>
      <w:r>
        <w:rPr>
          <w:rFonts w:hint="eastAsia" w:ascii="黑体" w:eastAsia="黑体"/>
          <w:bCs w:val="0"/>
          <w:sz w:val="36"/>
          <w:szCs w:val="36"/>
        </w:rPr>
        <w:t>第一章</w:t>
      </w:r>
      <w:r>
        <w:rPr>
          <w:rFonts w:hint="eastAsia" w:ascii="黑体" w:eastAsia="黑体"/>
          <w:sz w:val="36"/>
          <w:szCs w:val="36"/>
        </w:rPr>
        <w:t>谈判须知</w:t>
      </w:r>
    </w:p>
    <w:p>
      <w:r>
        <w:rPr>
          <w:rFonts w:hint="eastAsia"/>
        </w:rPr>
        <w:t>（本谈判文件请投标单位认真阅读，任何遗漏或疏忽都有可能导致无效标书或废标）</w:t>
      </w:r>
    </w:p>
    <w:tbl>
      <w:tblPr>
        <w:tblStyle w:val="25"/>
        <w:tblW w:w="1003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center"/>
              <w:rPr>
                <w:rFonts w:asciiTheme="minorEastAsia" w:hAnsiTheme="minorEastAsia"/>
                <w:szCs w:val="21"/>
              </w:rPr>
            </w:pPr>
            <w:r>
              <w:rPr>
                <w:rFonts w:hint="eastAsia" w:asciiTheme="minorEastAsia" w:hAnsiTheme="minorEastAsia"/>
                <w:szCs w:val="21"/>
              </w:rPr>
              <w:t>序号</w:t>
            </w:r>
          </w:p>
        </w:tc>
        <w:tc>
          <w:tcPr>
            <w:tcW w:w="1701" w:type="dxa"/>
          </w:tcPr>
          <w:p>
            <w:pPr>
              <w:jc w:val="center"/>
              <w:rPr>
                <w:rFonts w:asciiTheme="minorEastAsia" w:hAnsiTheme="minorEastAsia"/>
                <w:szCs w:val="21"/>
              </w:rPr>
            </w:pPr>
            <w:r>
              <w:rPr>
                <w:rFonts w:hint="eastAsia" w:asciiTheme="minorEastAsia" w:hAnsiTheme="minorEastAsia"/>
                <w:szCs w:val="21"/>
              </w:rPr>
              <w:t>名称</w:t>
            </w:r>
          </w:p>
        </w:tc>
        <w:tc>
          <w:tcPr>
            <w:tcW w:w="7910" w:type="dxa"/>
          </w:tcPr>
          <w:p>
            <w:pPr>
              <w:jc w:val="center"/>
              <w:rPr>
                <w:rFonts w:asciiTheme="minorEastAsia" w:hAnsiTheme="minorEastAsia"/>
                <w:szCs w:val="21"/>
              </w:rPr>
            </w:pPr>
            <w:r>
              <w:rPr>
                <w:rFonts w:hint="eastAsia" w:asciiTheme="minorEastAsia" w:hAnsiTheme="minorEastAsia"/>
                <w:szCs w:val="21"/>
              </w:rPr>
              <w:t>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p>
        </w:tc>
        <w:tc>
          <w:tcPr>
            <w:tcW w:w="1701" w:type="dxa"/>
          </w:tcPr>
          <w:p>
            <w:pPr>
              <w:jc w:val="left"/>
              <w:rPr>
                <w:rFonts w:asciiTheme="minorEastAsia" w:hAnsiTheme="minorEastAsia"/>
                <w:szCs w:val="21"/>
              </w:rPr>
            </w:pPr>
            <w:r>
              <w:rPr>
                <w:rFonts w:hint="eastAsia" w:asciiTheme="minorEastAsia" w:hAnsiTheme="minorEastAsia"/>
                <w:szCs w:val="21"/>
              </w:rPr>
              <w:t>项目名称</w:t>
            </w:r>
          </w:p>
        </w:tc>
        <w:tc>
          <w:tcPr>
            <w:tcW w:w="7910" w:type="dxa"/>
          </w:tcPr>
          <w:p>
            <w:pPr>
              <w:jc w:val="left"/>
              <w:rPr>
                <w:rFonts w:asciiTheme="minorEastAsia" w:hAnsiTheme="minorEastAsia"/>
                <w:szCs w:val="21"/>
              </w:rPr>
            </w:pPr>
            <w:r>
              <w:rPr>
                <w:rFonts w:hint="eastAsia" w:cs="仿宋_GB2312" w:asciiTheme="minorEastAsia" w:hAnsiTheme="minorEastAsia"/>
                <w:b/>
                <w:bCs/>
                <w:szCs w:val="21"/>
                <w:lang w:eastAsia="zh-CN"/>
              </w:rPr>
              <w:t>数据分析平台运维服务</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2</w:t>
            </w:r>
          </w:p>
        </w:tc>
        <w:tc>
          <w:tcPr>
            <w:tcW w:w="1701" w:type="dxa"/>
          </w:tcPr>
          <w:p>
            <w:pPr>
              <w:jc w:val="left"/>
              <w:rPr>
                <w:rFonts w:asciiTheme="minorEastAsia" w:hAnsiTheme="minorEastAsia"/>
                <w:szCs w:val="21"/>
              </w:rPr>
            </w:pPr>
            <w:r>
              <w:rPr>
                <w:rFonts w:hint="eastAsia" w:asciiTheme="minorEastAsia" w:hAnsiTheme="minorEastAsia"/>
                <w:szCs w:val="21"/>
              </w:rPr>
              <w:t>适用范围</w:t>
            </w:r>
          </w:p>
        </w:tc>
        <w:tc>
          <w:tcPr>
            <w:tcW w:w="7910" w:type="dxa"/>
          </w:tcPr>
          <w:p>
            <w:pPr>
              <w:spacing w:line="240" w:lineRule="atLeast"/>
              <w:jc w:val="left"/>
              <w:rPr>
                <w:rFonts w:cs="仿宋_GB2312" w:asciiTheme="minorEastAsia" w:hAnsiTheme="minorEastAsia"/>
                <w:szCs w:val="21"/>
              </w:rPr>
            </w:pPr>
            <w:r>
              <w:rPr>
                <w:rFonts w:hint="eastAsia" w:cs="仿宋_GB2312"/>
                <w:bCs/>
                <w:szCs w:val="21"/>
              </w:rPr>
              <w:t>本招标文件仅适用于中粮（唐山）糖业有限公司组织的采购活动。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3</w:t>
            </w:r>
          </w:p>
        </w:tc>
        <w:tc>
          <w:tcPr>
            <w:tcW w:w="1701" w:type="dxa"/>
          </w:tcPr>
          <w:p>
            <w:pPr>
              <w:jc w:val="left"/>
              <w:rPr>
                <w:rFonts w:asciiTheme="minorEastAsia" w:hAnsiTheme="minorEastAsia"/>
                <w:szCs w:val="21"/>
              </w:rPr>
            </w:pPr>
            <w:r>
              <w:rPr>
                <w:rFonts w:hint="eastAsia" w:asciiTheme="minorEastAsia" w:hAnsiTheme="minorEastAsia"/>
                <w:szCs w:val="21"/>
              </w:rPr>
              <w:t>定义</w:t>
            </w:r>
          </w:p>
        </w:tc>
        <w:tc>
          <w:tcPr>
            <w:tcW w:w="7910" w:type="dxa"/>
          </w:tcPr>
          <w:p>
            <w:pPr>
              <w:tabs>
                <w:tab w:val="left" w:pos="441"/>
              </w:tabs>
              <w:autoSpaceDE w:val="0"/>
              <w:autoSpaceDN w:val="0"/>
              <w:adjustRightInd w:val="0"/>
              <w:spacing w:line="240" w:lineRule="atLeast"/>
              <w:rPr>
                <w:rFonts w:cs="仿宋_GB2312"/>
                <w:szCs w:val="21"/>
              </w:rPr>
            </w:pPr>
            <w:bookmarkStart w:id="0" w:name="_Hlk131079327"/>
            <w:r>
              <w:rPr>
                <w:rFonts w:hint="eastAsia" w:cs="仿宋_GB2312"/>
                <w:szCs w:val="21"/>
              </w:rPr>
              <w:t>本招标文件使用的下列词语定义如下：</w:t>
            </w:r>
          </w:p>
          <w:p>
            <w:pPr>
              <w:numPr>
                <w:ilvl w:val="255"/>
                <w:numId w:val="0"/>
              </w:numPr>
              <w:autoSpaceDE w:val="0"/>
              <w:autoSpaceDN w:val="0"/>
              <w:adjustRightInd w:val="0"/>
              <w:spacing w:line="240" w:lineRule="atLeast"/>
              <w:rPr>
                <w:rFonts w:cs="仿宋_GB2312"/>
                <w:szCs w:val="21"/>
              </w:rPr>
            </w:pPr>
            <w:r>
              <w:rPr>
                <w:rFonts w:hint="eastAsia" w:cs="仿宋_GB2312"/>
                <w:szCs w:val="21"/>
              </w:rPr>
              <w:t>（1）“招标人”均指</w:t>
            </w:r>
            <w:r>
              <w:rPr>
                <w:rFonts w:hint="eastAsia" w:cs="仿宋_GB2312"/>
                <w:bCs/>
                <w:szCs w:val="21"/>
              </w:rPr>
              <w:t>中粮（唐山）糖业有限公司</w:t>
            </w:r>
            <w:r>
              <w:rPr>
                <w:rFonts w:hint="eastAsia" w:cs="仿宋_GB2312"/>
                <w:szCs w:val="21"/>
              </w:rPr>
              <w:t>；</w:t>
            </w:r>
          </w:p>
          <w:p>
            <w:pPr>
              <w:numPr>
                <w:ilvl w:val="255"/>
                <w:numId w:val="0"/>
              </w:numPr>
              <w:autoSpaceDE w:val="0"/>
              <w:autoSpaceDN w:val="0"/>
              <w:adjustRightInd w:val="0"/>
              <w:spacing w:line="240" w:lineRule="atLeast"/>
              <w:rPr>
                <w:rFonts w:cs="仿宋_GB2312"/>
                <w:szCs w:val="21"/>
              </w:rPr>
            </w:pPr>
            <w:r>
              <w:rPr>
                <w:rFonts w:hint="eastAsia" w:cs="仿宋_GB2312"/>
                <w:szCs w:val="21"/>
              </w:rPr>
              <w:t>（2）“投标人”指向</w:t>
            </w:r>
            <w:r>
              <w:rPr>
                <w:rFonts w:hint="eastAsia" w:cs="仿宋_GB2312"/>
                <w:bCs/>
                <w:szCs w:val="21"/>
              </w:rPr>
              <w:t>中粮（唐山）糖业有限公司</w:t>
            </w:r>
            <w:r>
              <w:rPr>
                <w:rFonts w:hint="eastAsia" w:cs="仿宋_GB2312"/>
                <w:szCs w:val="21"/>
              </w:rPr>
              <w:t>提交投标文件；</w:t>
            </w:r>
          </w:p>
          <w:p>
            <w:pPr>
              <w:numPr>
                <w:ilvl w:val="255"/>
                <w:numId w:val="0"/>
              </w:numPr>
              <w:autoSpaceDE w:val="0"/>
              <w:autoSpaceDN w:val="0"/>
              <w:adjustRightInd w:val="0"/>
              <w:spacing w:line="240" w:lineRule="atLeast"/>
              <w:rPr>
                <w:rFonts w:cs="仿宋_GB2312"/>
                <w:szCs w:val="21"/>
              </w:rPr>
            </w:pPr>
            <w:r>
              <w:rPr>
                <w:rFonts w:hint="eastAsia" w:cs="仿宋_GB2312"/>
                <w:szCs w:val="21"/>
              </w:rPr>
              <w:t>（3）“招标文件”指</w:t>
            </w:r>
            <w:r>
              <w:rPr>
                <w:rFonts w:hint="eastAsia" w:cs="仿宋_GB2312"/>
                <w:bCs/>
                <w:szCs w:val="21"/>
              </w:rPr>
              <w:t>中粮（唐山）糖业有限公司</w:t>
            </w:r>
            <w:r>
              <w:rPr>
                <w:rFonts w:hint="eastAsia" w:cs="仿宋_GB2312"/>
                <w:szCs w:val="21"/>
              </w:rPr>
              <w:t>发出的本文件，包括附件；</w:t>
            </w:r>
          </w:p>
          <w:p>
            <w:pPr>
              <w:spacing w:line="240" w:lineRule="atLeast"/>
              <w:jc w:val="left"/>
              <w:rPr>
                <w:rFonts w:cs="仿宋_GB2312" w:asciiTheme="minorEastAsia" w:hAnsiTheme="minorEastAsia"/>
                <w:szCs w:val="21"/>
              </w:rPr>
            </w:pPr>
            <w:r>
              <w:rPr>
                <w:rFonts w:hint="eastAsia" w:cs="仿宋_GB2312"/>
                <w:szCs w:val="21"/>
              </w:rPr>
              <w:t>（4）“投标文件”指投标人根据本招标文件向</w:t>
            </w:r>
            <w:r>
              <w:rPr>
                <w:rFonts w:hint="eastAsia" w:cs="仿宋_GB2312"/>
                <w:bCs/>
                <w:szCs w:val="21"/>
              </w:rPr>
              <w:t>中粮（唐山）糖业有限公司</w:t>
            </w:r>
            <w:r>
              <w:rPr>
                <w:rFonts w:hint="eastAsia" w:cs="仿宋_GB2312"/>
                <w:szCs w:val="21"/>
              </w:rPr>
              <w:t>交的全部文件；</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4</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项目地点</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w:t>
            </w:r>
            <w:r>
              <w:rPr>
                <w:rFonts w:cs="仿宋_GB2312" w:asciiTheme="minorEastAsia" w:hAnsiTheme="minorEastAsia"/>
                <w:szCs w:val="21"/>
              </w:rPr>
              <w:t>中粮（唐山）糖业有限公司</w:t>
            </w:r>
            <w:r>
              <w:rPr>
                <w:rFonts w:hint="eastAsia" w:cs="仿宋_GB2312" w:asciiTheme="minorEastAsia" w:hAnsiTheme="minorEastAsia"/>
                <w:szCs w:val="21"/>
              </w:rPr>
              <w:t>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5</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项目服务区域</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服务期内中粮（唐山）糖业有限公司服务项目所在地（根据实际修改）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6</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项目控制价</w:t>
            </w:r>
          </w:p>
        </w:tc>
        <w:tc>
          <w:tcPr>
            <w:tcW w:w="7910" w:type="dxa"/>
          </w:tcPr>
          <w:p>
            <w:pPr>
              <w:spacing w:line="240" w:lineRule="atLeast"/>
              <w:jc w:val="left"/>
              <w:rPr>
                <w:rFonts w:asciiTheme="minorEastAsia" w:hAnsiTheme="minorEastAsia"/>
                <w:szCs w:val="21"/>
                <w:highlight w:val="none"/>
              </w:rPr>
            </w:pPr>
            <w:r>
              <w:rPr>
                <w:rFonts w:hint="eastAsia" w:cs="仿宋_GB2312" w:asciiTheme="minorEastAsia" w:hAnsiTheme="minorEastAsia"/>
                <w:szCs w:val="21"/>
                <w:highlight w:val="none"/>
                <w:lang w:val="en-US" w:eastAsia="zh-CN"/>
              </w:rPr>
              <w:t>400,000</w:t>
            </w:r>
            <w:r>
              <w:rPr>
                <w:rFonts w:hint="eastAsia" w:cs="仿宋_GB2312" w:asciiTheme="minorEastAsia" w:hAnsiTheme="minorEastAsia"/>
                <w:szCs w:val="21"/>
                <w:highlight w:val="none"/>
              </w:rPr>
              <w:t>元</w:t>
            </w:r>
            <w:r>
              <w:rPr>
                <w:rFonts w:cs="仿宋_GB2312" w:asciiTheme="minorEastAsia" w:hAnsiTheme="minorEastAsia"/>
                <w:szCs w:val="21"/>
                <w:highlight w:val="none"/>
              </w:rPr>
              <w:t>(</w:t>
            </w:r>
            <w:r>
              <w:rPr>
                <w:rFonts w:hint="eastAsia" w:cs="仿宋_GB2312" w:asciiTheme="minorEastAsia" w:hAnsiTheme="minorEastAsia"/>
                <w:szCs w:val="21"/>
                <w:highlight w:val="none"/>
                <w:lang w:val="en-US" w:eastAsia="zh-CN"/>
              </w:rPr>
              <w:t>招标以清单编制单位出具控制价为准</w:t>
            </w:r>
            <w:r>
              <w:rPr>
                <w:rFonts w:hint="eastAsia" w:cs="仿宋_GB2312" w:asciiTheme="minorEastAsia" w:hAnsiTheme="minorEastAsia"/>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7</w:t>
            </w:r>
          </w:p>
        </w:tc>
        <w:tc>
          <w:tcPr>
            <w:tcW w:w="1701" w:type="dxa"/>
          </w:tcPr>
          <w:p>
            <w:pPr>
              <w:jc w:val="left"/>
              <w:rPr>
                <w:rFonts w:asciiTheme="minorEastAsia" w:hAnsiTheme="minorEastAsia"/>
                <w:szCs w:val="21"/>
              </w:rPr>
            </w:pPr>
            <w:r>
              <w:rPr>
                <w:rFonts w:hint="eastAsia" w:asciiTheme="minorEastAsia" w:hAnsiTheme="minorEastAsia"/>
                <w:szCs w:val="21"/>
              </w:rPr>
              <w:t>服务内容</w:t>
            </w:r>
          </w:p>
        </w:tc>
        <w:tc>
          <w:tcPr>
            <w:tcW w:w="7910" w:type="dxa"/>
          </w:tcPr>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唐山糖业数据分析平台项目总体业务需求概括为以下几部分：</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1)提高业务联动程度</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提高公司内部业务联动程度，实现原糖、动力、品控、采购、生产、物流、财务，人力资源等领域的相关业务协同，结合业务需求和信息系统支撑情况，实现不同业务之间的数据交互和信息共享，进一步优化业务流程，通过协同优化提升业务水平和管理水平。</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2)提高数据及时、准确与有效性，提高业务信息利用效率及效果</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一方面使现有信息系统的资源、功能和信息得到共享、互用，打破信息壁垒，提高数据及时、准确与有效性；另一方面需要对历史数据进行分析和挖掘，提高业务信息利用效率与效果，促进数据资产增值。</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3)加强信息系统对关键业务信息的深化应用</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加强信息系统建设，提升系统功能，提升系统易用性和运行效率，简化业务人员操作，方便管理人员分析，提高工作效率；深化业务信息利用，提升决策支持能力，支持各专业公司内部主要业务数据可视化及业务协同，更好支持公司业务发展。</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4)提高企业绩效管理及决策支持水平</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以公司统一的管理目标为导向，建立一套科学先进的关键业务指标（KPI）体系。有效整合相关系统数据，在高质量数据和先进管理思想的基础上，构建统一的统计、分析、预测平台，帮助各级管理人员进行业务分析和决策，主要包括对生产运行的模拟预测、经营活动的分析；提供准确的成本和效益分析，支持管理决策；建立企业绩效指标体系。</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5)加强企业风险管理</w:t>
            </w:r>
          </w:p>
          <w:p>
            <w:pPr>
              <w:spacing w:line="240" w:lineRule="atLeast"/>
              <w:jc w:val="left"/>
              <w:rPr>
                <w:rFonts w:hint="eastAsia" w:ascii="宋体" w:hAnsi="宋体" w:eastAsia="宋体" w:cs="仿宋_GB2312"/>
                <w:szCs w:val="21"/>
                <w:lang w:val="en-US" w:eastAsia="zh-CN"/>
              </w:rPr>
            </w:pPr>
            <w:r>
              <w:rPr>
                <w:rFonts w:hint="eastAsia" w:ascii="宋体" w:hAnsi="宋体" w:eastAsia="宋体" w:cs="仿宋_GB2312"/>
                <w:szCs w:val="21"/>
                <w:lang w:val="en-US" w:eastAsia="zh-CN"/>
              </w:rPr>
              <w:t>加强风险管理，随时了解企业的生产经营活动情况，加强对企业的监管和考核，支持企业规避风险。</w:t>
            </w:r>
          </w:p>
          <w:p>
            <w:pPr>
              <w:spacing w:line="240" w:lineRule="atLeast"/>
              <w:jc w:val="left"/>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8</w:t>
            </w:r>
          </w:p>
        </w:tc>
        <w:tc>
          <w:tcPr>
            <w:tcW w:w="1701" w:type="dxa"/>
          </w:tcPr>
          <w:p>
            <w:pPr>
              <w:jc w:val="left"/>
              <w:rPr>
                <w:rFonts w:asciiTheme="minorEastAsia" w:hAnsiTheme="minorEastAsia"/>
                <w:szCs w:val="21"/>
                <w:highlight w:val="none"/>
              </w:rPr>
            </w:pPr>
            <w:r>
              <w:rPr>
                <w:rFonts w:hint="eastAsia" w:cs="仿宋_GB2312" w:asciiTheme="minorEastAsia" w:hAnsiTheme="minorEastAsia"/>
                <w:szCs w:val="21"/>
                <w:highlight w:val="none"/>
              </w:rPr>
              <w:t>项目服务</w:t>
            </w:r>
            <w:r>
              <w:rPr>
                <w:rFonts w:hint="eastAsia" w:asciiTheme="minorEastAsia" w:hAnsiTheme="minorEastAsia"/>
                <w:szCs w:val="21"/>
                <w:highlight w:val="none"/>
              </w:rPr>
              <w:t>期限</w:t>
            </w:r>
          </w:p>
        </w:tc>
        <w:tc>
          <w:tcPr>
            <w:tcW w:w="7910" w:type="dxa"/>
          </w:tcPr>
          <w:p>
            <w:pPr>
              <w:spacing w:line="240" w:lineRule="atLeast"/>
              <w:jc w:val="left"/>
              <w:rPr>
                <w:rFonts w:cs="仿宋_GB2312" w:asciiTheme="minorEastAsia" w:hAnsiTheme="minorEastAsia"/>
                <w:szCs w:val="21"/>
                <w:highlight w:val="none"/>
              </w:rPr>
            </w:pPr>
            <w:r>
              <w:rPr>
                <w:rFonts w:hint="eastAsia" w:cs="仿宋_GB2312" w:asciiTheme="minorEastAsia" w:hAnsiTheme="minorEastAsia"/>
                <w:szCs w:val="21"/>
                <w:highlight w:val="none"/>
              </w:rPr>
              <w:t>项目要求在2024年6月1日前完成开发运行上线工作，试运行时间2024年6月1日至2025年1月31日，质保期2025年2月1日至2026年1月31日。根据甲方计划完成时间要求，需开发实施人员合理安排时间计划。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9</w:t>
            </w:r>
          </w:p>
        </w:tc>
        <w:tc>
          <w:tcPr>
            <w:tcW w:w="1701" w:type="dxa"/>
          </w:tcPr>
          <w:p>
            <w:pPr>
              <w:jc w:val="left"/>
              <w:rPr>
                <w:rFonts w:asciiTheme="minorEastAsia" w:hAnsiTheme="minorEastAsia"/>
                <w:szCs w:val="21"/>
              </w:rPr>
            </w:pPr>
            <w:r>
              <w:rPr>
                <w:rFonts w:hint="eastAsia" w:asciiTheme="minorEastAsia" w:hAnsiTheme="minorEastAsia"/>
                <w:szCs w:val="21"/>
              </w:rPr>
              <w:t>采购方式</w:t>
            </w:r>
          </w:p>
        </w:tc>
        <w:tc>
          <w:tcPr>
            <w:tcW w:w="7910" w:type="dxa"/>
          </w:tcPr>
          <w:p>
            <w:pPr>
              <w:spacing w:line="240" w:lineRule="atLeast"/>
              <w:jc w:val="left"/>
              <w:rPr>
                <w:rFonts w:asciiTheme="minorEastAsia" w:hAnsiTheme="minorEastAsia"/>
                <w:szCs w:val="21"/>
              </w:rPr>
            </w:pPr>
            <w:r>
              <w:rPr>
                <w:rFonts w:hint="eastAsia" w:asciiTheme="minorEastAsia" w:hAnsiTheme="minorEastAsia"/>
                <w:szCs w:val="21"/>
              </w:rPr>
              <w:t>谈判采购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10</w:t>
            </w:r>
          </w:p>
        </w:tc>
        <w:tc>
          <w:tcPr>
            <w:tcW w:w="1701" w:type="dxa"/>
          </w:tcPr>
          <w:p>
            <w:pPr>
              <w:jc w:val="left"/>
              <w:rPr>
                <w:rFonts w:asciiTheme="minorEastAsia" w:hAnsiTheme="minorEastAsia"/>
                <w:szCs w:val="21"/>
              </w:rPr>
            </w:pPr>
            <w:r>
              <w:rPr>
                <w:rFonts w:hint="eastAsia" w:cs="仿宋_GB2312" w:asciiTheme="minorEastAsia" w:hAnsiTheme="minorEastAsia"/>
                <w:bCs/>
                <w:szCs w:val="21"/>
              </w:rPr>
              <w:t>合格意向投标人的资格条件</w:t>
            </w:r>
          </w:p>
        </w:tc>
        <w:tc>
          <w:tcPr>
            <w:tcW w:w="7910" w:type="dxa"/>
          </w:tcPr>
          <w:p>
            <w:pPr>
              <w:widowControl/>
              <w:snapToGrid w:val="0"/>
              <w:spacing w:line="240" w:lineRule="atLeast"/>
              <w:rPr>
                <w:rFonts w:asciiTheme="minorEastAsia" w:hAnsiTheme="minorEastAsia"/>
                <w:bCs/>
                <w:szCs w:val="21"/>
              </w:rPr>
            </w:pPr>
            <w:r>
              <w:rPr>
                <w:rFonts w:hint="eastAsia" w:asciiTheme="minorEastAsia" w:hAnsiTheme="minorEastAsia"/>
                <w:bCs/>
                <w:szCs w:val="21"/>
              </w:rPr>
              <w:t>（1）投标人必须是中华人民共和国境内合法注册的独立法人机构或其他组织；</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（2）具备：“统一社会信用代码证”的营业执照；</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（3）提供法定代表人证明书和法定代表人授权委托证明书；</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（4）参加招投标活动前三年内在经营活动中没有重大违法记录；</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（5）单位负责人为同一人或者存在直接控股、管理关系的不同投标人，不得参加同一合同项下的投标活动；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（6）在“信用中国”网站（www.creditchina.gov.cn）中被列入失信被执行人、重大税收违法案件当事人名单、政府采购严重违法失信行为记录名单的投标人，不得参加本次招标活动；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（7）应自觉抵制采购领域商业贿赂行为；</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（8）本项目不允许联合体响应；</w:t>
            </w:r>
          </w:p>
          <w:p>
            <w:pPr>
              <w:widowControl/>
              <w:tabs>
                <w:tab w:val="left" w:pos="5976"/>
              </w:tabs>
              <w:snapToGrid w:val="0"/>
              <w:spacing w:line="240" w:lineRule="atLeast"/>
              <w:rPr>
                <w:rFonts w:asciiTheme="minorEastAsia" w:hAnsiTheme="minorEastAsia"/>
                <w:bCs/>
                <w:szCs w:val="21"/>
              </w:rPr>
            </w:pPr>
            <w:r>
              <w:rPr>
                <w:rFonts w:hint="eastAsia" w:asciiTheme="minorEastAsia" w:hAnsiTheme="minorEastAsia"/>
                <w:bCs/>
                <w:szCs w:val="21"/>
              </w:rPr>
              <w:t>（9）中粮糖业黑名单内的供应商不得投标。</w:t>
            </w:r>
            <w:r>
              <w:rPr>
                <w:rFonts w:asciiTheme="minorEastAsia" w:hAnsiTheme="minorEastAsia"/>
                <w:bCs/>
                <w:szCs w:val="21"/>
              </w:rPr>
              <w:tab/>
            </w:r>
          </w:p>
          <w:p>
            <w:pPr>
              <w:autoSpaceDE w:val="0"/>
              <w:autoSpaceDN w:val="0"/>
              <w:adjustRightInd w:val="0"/>
              <w:spacing w:line="240" w:lineRule="atLeast"/>
              <w:ind w:left="630" w:hanging="630" w:hangingChars="300"/>
              <w:jc w:val="left"/>
              <w:rPr>
                <w:rFonts w:hint="default" w:ascii="宋体" w:hAnsi="宋体" w:eastAsia="宋体" w:cs="仿宋_GB2312"/>
                <w:kern w:val="0"/>
                <w:szCs w:val="21"/>
                <w:highlight w:val="none"/>
                <w:lang w:val="en-US" w:eastAsia="zh-CN"/>
              </w:rPr>
            </w:pPr>
            <w:r>
              <w:rPr>
                <w:rFonts w:hint="eastAsia" w:ascii="宋体" w:hAnsi="宋体" w:eastAsia="宋体"/>
                <w:bCs/>
                <w:szCs w:val="21"/>
                <w:highlight w:val="none"/>
              </w:rPr>
              <w:t>（1</w:t>
            </w:r>
            <w:r>
              <w:rPr>
                <w:rFonts w:ascii="宋体" w:hAnsi="宋体" w:eastAsia="宋体"/>
                <w:bCs/>
                <w:szCs w:val="21"/>
                <w:highlight w:val="none"/>
              </w:rPr>
              <w:t>0</w:t>
            </w:r>
            <w:r>
              <w:rPr>
                <w:rFonts w:hint="eastAsia" w:ascii="宋体" w:hAnsi="宋体" w:eastAsia="宋体"/>
                <w:bCs/>
                <w:szCs w:val="21"/>
                <w:highlight w:val="none"/>
              </w:rPr>
              <w:t>）</w:t>
            </w:r>
            <w:r>
              <w:rPr>
                <w:rFonts w:hint="eastAsia" w:ascii="宋体" w:hAnsi="宋体" w:eastAsia="宋体"/>
                <w:bCs/>
                <w:szCs w:val="21"/>
                <w:highlight w:val="none"/>
                <w:lang w:val="en-US" w:eastAsia="zh-CN"/>
              </w:rPr>
              <w:t>现场运维人员要求：项目经理曾担任过的EPM同类项目开发案例，对EPM流程整体设计具有统筹理念，投标项目团队成员与项目实施阶段一致，能够对项目建设提供有价值的建议或优化方案。</w:t>
            </w:r>
          </w:p>
          <w:p>
            <w:pPr>
              <w:autoSpaceDE w:val="0"/>
              <w:autoSpaceDN w:val="0"/>
              <w:adjustRightInd w:val="0"/>
              <w:spacing w:line="240" w:lineRule="atLeast"/>
              <w:ind w:left="630" w:hanging="630" w:hangingChars="300"/>
              <w:jc w:val="left"/>
              <w:rPr>
                <w:rFonts w:ascii="宋体" w:hAnsi="宋体" w:eastAsia="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26" w:type="dxa"/>
          </w:tcPr>
          <w:p>
            <w:pPr>
              <w:jc w:val="left"/>
              <w:rPr>
                <w:rFonts w:asciiTheme="minorEastAsia" w:hAnsiTheme="minorEastAsia"/>
                <w:szCs w:val="21"/>
              </w:rPr>
            </w:pPr>
            <w:r>
              <w:rPr>
                <w:rFonts w:asciiTheme="minorEastAsia" w:hAnsiTheme="minorEastAsia"/>
                <w:szCs w:val="21"/>
              </w:rPr>
              <w:t>11</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投标人注册</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意向投标人须在中粮糖业采购平台进行注册登记，通过审核的才能够在EPS系统内报名，进行查看公告等业务操作；</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采购平台网址：</w:t>
            </w:r>
            <w:r>
              <w:t>https://eps.cofcosugar.com/</w:t>
            </w:r>
            <w:r>
              <w:rPr>
                <w:rFonts w:hint="eastAsia" w:cs="仿宋_GB2312" w:asciiTheme="minorEastAsia" w:hAnsiTheme="minorEastAsia"/>
                <w:szCs w:val="21"/>
              </w:rPr>
              <w:t>。</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 xml:space="preserve">已注册的意向投标人在EPS系统内自行更新资料，补充不足部分，更新已过期资质，重新提交审核，资质审核不通过的不得参与报价； </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请参与本次报价的意向投标人注册填报采购组织时，选择：中粮（唐山）糖业有限公司。</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系统固定注册资料需有：营业执照、开户许可证、纳税人资格证、法人代表授权委托书、质量承诺书、廉洁承诺书。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w:t>
            </w:r>
          </w:p>
        </w:tc>
        <w:tc>
          <w:tcPr>
            <w:tcW w:w="1701" w:type="dxa"/>
            <w:vAlign w:val="center"/>
          </w:tcPr>
          <w:p>
            <w:pPr>
              <w:jc w:val="left"/>
              <w:rPr>
                <w:rFonts w:cs="仿宋_GB2312" w:asciiTheme="minorEastAsia" w:hAnsiTheme="minorEastAsia"/>
                <w:bCs/>
                <w:szCs w:val="21"/>
              </w:rPr>
            </w:pPr>
            <w:r>
              <w:rPr>
                <w:rFonts w:hint="eastAsia" w:asciiTheme="minorEastAsia" w:hAnsiTheme="minorEastAsia"/>
                <w:szCs w:val="21"/>
              </w:rPr>
              <w:t>响应有效期</w:t>
            </w:r>
          </w:p>
        </w:tc>
        <w:tc>
          <w:tcPr>
            <w:tcW w:w="7910" w:type="dxa"/>
            <w:vAlign w:val="center"/>
          </w:tcPr>
          <w:p>
            <w:pPr>
              <w:snapToGrid w:val="0"/>
              <w:spacing w:line="240" w:lineRule="atLeast"/>
              <w:rPr>
                <w:rFonts w:cs="仿宋_GB2312" w:asciiTheme="minorEastAsia" w:hAnsiTheme="minorEastAsia"/>
                <w:szCs w:val="21"/>
              </w:rPr>
            </w:pPr>
            <w:r>
              <w:rPr>
                <w:rFonts w:hint="eastAsia" w:asciiTheme="minorEastAsia" w:hAnsiTheme="minorEastAsia"/>
                <w:szCs w:val="21"/>
              </w:rPr>
              <w:t>响应有效期为开启响应文件之日起90日历天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13</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投标保证金（如果业务部门不收取保证金，则取消</w:t>
            </w:r>
            <w:r>
              <w:rPr>
                <w:rFonts w:cs="仿宋_GB2312" w:asciiTheme="minorEastAsia" w:hAnsiTheme="minorEastAsia"/>
                <w:bCs/>
                <w:szCs w:val="21"/>
              </w:rPr>
              <w:t>13.14.15</w:t>
            </w:r>
            <w:r>
              <w:rPr>
                <w:rFonts w:hint="eastAsia" w:cs="仿宋_GB2312" w:asciiTheme="minorEastAsia" w:hAnsiTheme="minorEastAsia"/>
                <w:bCs/>
                <w:szCs w:val="21"/>
              </w:rPr>
              <w:t>）</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意向投标人需在</w:t>
            </w:r>
            <w:r>
              <w:rPr>
                <w:rFonts w:cs="仿宋_GB2312" w:asciiTheme="minorEastAsia" w:hAnsiTheme="minorEastAsia"/>
                <w:szCs w:val="21"/>
                <w:u w:val="single"/>
              </w:rPr>
              <w:t>202</w:t>
            </w:r>
            <w:r>
              <w:rPr>
                <w:rFonts w:hint="eastAsia" w:cs="仿宋_GB2312" w:asciiTheme="minorEastAsia" w:hAnsiTheme="minorEastAsia"/>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szCs w:val="21"/>
                <w:u w:val="single"/>
                <w:lang w:val="en-US" w:eastAsia="zh-CN"/>
              </w:rPr>
              <w:t>1</w:t>
            </w:r>
            <w:r>
              <w:rPr>
                <w:rFonts w:hint="eastAsia" w:cs="仿宋_GB2312" w:asciiTheme="minorEastAsia" w:hAnsiTheme="minorEastAsia"/>
                <w:szCs w:val="21"/>
              </w:rPr>
              <w:t>月</w:t>
            </w:r>
            <w:r>
              <w:rPr>
                <w:rFonts w:hint="eastAsia" w:cs="仿宋_GB2312" w:asciiTheme="minorEastAsia" w:hAnsiTheme="minorEastAsia"/>
                <w:szCs w:val="21"/>
                <w:u w:val="single"/>
                <w:lang w:val="en-US" w:eastAsia="zh-CN"/>
              </w:rPr>
              <w:t>31</w:t>
            </w:r>
            <w:r>
              <w:rPr>
                <w:rFonts w:hint="eastAsia" w:cs="仿宋_GB2312" w:asciiTheme="minorEastAsia" w:hAnsiTheme="minorEastAsia"/>
                <w:szCs w:val="21"/>
              </w:rPr>
              <w:t>日前缴纳投标保证金：人民币¥</w:t>
            </w:r>
            <w:r>
              <w:rPr>
                <w:rFonts w:hint="eastAsia" w:cs="仿宋_GB2312" w:asciiTheme="minorEastAsia" w:hAnsiTheme="minorEastAsia"/>
                <w:szCs w:val="21"/>
                <w:u w:val="single"/>
                <w:lang w:val="en-US" w:eastAsia="zh-CN"/>
              </w:rPr>
              <w:t>5</w:t>
            </w:r>
            <w:r>
              <w:rPr>
                <w:rFonts w:cs="仿宋_GB2312" w:asciiTheme="minorEastAsia" w:hAnsiTheme="minorEastAsia"/>
                <w:szCs w:val="21"/>
                <w:u w:val="single"/>
              </w:rPr>
              <w:t>000</w:t>
            </w:r>
            <w:r>
              <w:rPr>
                <w:rFonts w:hint="eastAsia" w:cs="仿宋_GB2312" w:asciiTheme="minorEastAsia" w:hAnsiTheme="minorEastAsia"/>
                <w:szCs w:val="21"/>
              </w:rPr>
              <w:t>元（大写：</w:t>
            </w:r>
            <w:r>
              <w:rPr>
                <w:rFonts w:hint="eastAsia" w:cs="仿宋_GB2312" w:asciiTheme="minorEastAsia" w:hAnsiTheme="minorEastAsia"/>
                <w:szCs w:val="21"/>
                <w:lang w:val="en-US" w:eastAsia="zh-CN"/>
              </w:rPr>
              <w:t>伍仟</w:t>
            </w:r>
            <w:r>
              <w:rPr>
                <w:rFonts w:hint="eastAsia" w:cs="仿宋_GB2312" w:asciiTheme="minorEastAsia" w:hAnsiTheme="minorEastAsia"/>
                <w:szCs w:val="21"/>
              </w:rPr>
              <w:t>元整）</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以转帐方式交至以下帐户：</w:t>
            </w:r>
          </w:p>
          <w:p>
            <w:pPr>
              <w:snapToGrid w:val="0"/>
              <w:spacing w:line="240" w:lineRule="atLeast"/>
              <w:rPr>
                <w:rFonts w:ascii="宋体" w:hAnsi="宋体" w:eastAsia="宋体" w:cs="仿宋_GB2312"/>
                <w:szCs w:val="21"/>
              </w:rPr>
            </w:pPr>
            <w:r>
              <w:rPr>
                <w:rFonts w:hint="eastAsia" w:ascii="宋体" w:hAnsi="宋体" w:eastAsia="宋体" w:cs="仿宋_GB2312"/>
                <w:szCs w:val="21"/>
              </w:rPr>
              <w:t>收款人：中粮（唐山）糖业有限公司</w:t>
            </w:r>
          </w:p>
          <w:p>
            <w:pPr>
              <w:snapToGrid w:val="0"/>
              <w:spacing w:line="240" w:lineRule="atLeast"/>
              <w:rPr>
                <w:rFonts w:ascii="宋体" w:hAnsi="宋体" w:eastAsia="宋体" w:cs="仿宋_GB2312"/>
                <w:szCs w:val="21"/>
              </w:rPr>
            </w:pPr>
            <w:r>
              <w:rPr>
                <w:rFonts w:hint="eastAsia" w:ascii="宋体" w:hAnsi="宋体" w:eastAsia="宋体" w:cs="仿宋_GB2312"/>
                <w:szCs w:val="21"/>
              </w:rPr>
              <w:t>开户行：中国建设银行股份有限公司唐山曹妃甸自贸区支行</w:t>
            </w:r>
          </w:p>
          <w:p>
            <w:pPr>
              <w:snapToGrid w:val="0"/>
              <w:spacing w:line="240" w:lineRule="atLeast"/>
              <w:rPr>
                <w:rFonts w:ascii="宋体" w:hAnsi="宋体" w:eastAsia="宋体" w:cs="仿宋_GB2312"/>
                <w:szCs w:val="21"/>
              </w:rPr>
            </w:pPr>
            <w:r>
              <w:rPr>
                <w:rFonts w:hint="eastAsia" w:ascii="宋体" w:hAnsi="宋体" w:eastAsia="宋体" w:cs="仿宋_GB2312"/>
                <w:szCs w:val="21"/>
              </w:rPr>
              <w:t>行号：</w:t>
            </w:r>
            <w:r>
              <w:rPr>
                <w:rFonts w:ascii="宋体" w:hAnsi="宋体" w:eastAsia="宋体" w:cs="仿宋_GB2312"/>
                <w:szCs w:val="21"/>
              </w:rPr>
              <w:t>105125100039</w:t>
            </w:r>
          </w:p>
          <w:p>
            <w:pPr>
              <w:snapToGrid w:val="0"/>
              <w:spacing w:line="240" w:lineRule="atLeast"/>
              <w:rPr>
                <w:rFonts w:ascii="宋体" w:hAnsi="宋体" w:eastAsia="宋体" w:cs="仿宋_GB2312"/>
                <w:szCs w:val="21"/>
              </w:rPr>
            </w:pPr>
            <w:r>
              <w:rPr>
                <w:rFonts w:hint="eastAsia" w:ascii="宋体" w:hAnsi="宋体" w:eastAsia="宋体" w:cs="仿宋_GB2312"/>
                <w:szCs w:val="21"/>
              </w:rPr>
              <w:t>银行账号：</w:t>
            </w:r>
            <w:r>
              <w:rPr>
                <w:rFonts w:ascii="宋体" w:hAnsi="宋体" w:eastAsia="宋体" w:cs="仿宋_GB2312"/>
                <w:szCs w:val="21"/>
              </w:rPr>
              <w:t>13001624101052503146</w:t>
            </w:r>
          </w:p>
          <w:p>
            <w:pPr>
              <w:snapToGrid w:val="0"/>
              <w:spacing w:line="240" w:lineRule="atLeast"/>
              <w:rPr>
                <w:rFonts w:ascii="宋体" w:hAnsi="宋体" w:eastAsia="宋体" w:cs="仿宋_GB2312"/>
                <w:szCs w:val="21"/>
              </w:rPr>
            </w:pPr>
            <w:r>
              <w:rPr>
                <w:rFonts w:hint="eastAsia" w:ascii="宋体" w:hAnsi="宋体" w:eastAsia="宋体" w:cs="仿宋_GB2312"/>
                <w:szCs w:val="21"/>
              </w:rPr>
              <w:t>中标单位需在中标通知书公布三个工作日内缴纳</w:t>
            </w:r>
            <w:r>
              <w:rPr>
                <w:rFonts w:hint="eastAsia" w:ascii="宋体" w:hAnsi="宋体" w:eastAsia="宋体" w:cs="仿宋_GB2312"/>
                <w:szCs w:val="21"/>
                <w:lang w:val="en-US" w:eastAsia="zh-CN"/>
              </w:rPr>
              <w:t>20000元（贰万元整）</w:t>
            </w:r>
            <w:r>
              <w:rPr>
                <w:rFonts w:hint="eastAsia" w:ascii="宋体" w:hAnsi="宋体" w:eastAsia="宋体" w:cs="仿宋_GB2312"/>
                <w:szCs w:val="21"/>
              </w:rPr>
              <w:t>履约保证金</w:t>
            </w:r>
            <w:r>
              <w:rPr>
                <w:rFonts w:hint="eastAsia" w:ascii="宋体" w:hAnsi="宋体" w:eastAsia="宋体" w:cs="仿宋_GB2312"/>
                <w:szCs w:val="21"/>
                <w:lang w:val="en-US" w:eastAsia="zh-CN"/>
              </w:rPr>
              <w:t>或履约保函（中粮糖业可接受保函开具银行清单范围内）</w:t>
            </w:r>
            <w:r>
              <w:rPr>
                <w:rFonts w:hint="eastAsia" w:ascii="宋体" w:hAnsi="宋体" w:eastAsia="宋体" w:cs="仿宋_GB2312"/>
                <w:szCs w:val="21"/>
              </w:rPr>
              <w:t>，</w:t>
            </w:r>
            <w:r>
              <w:rPr>
                <w:rFonts w:hint="eastAsia" w:ascii="宋体" w:hAnsi="宋体" w:eastAsia="宋体" w:cs="仿宋_GB2312"/>
                <w:szCs w:val="21"/>
                <w:lang w:val="en-US" w:eastAsia="zh-CN"/>
              </w:rPr>
              <w:t>投标保证金可转为履约保证金，并补足差额；</w:t>
            </w:r>
            <w:r>
              <w:rPr>
                <w:rFonts w:hint="eastAsia" w:ascii="宋体" w:hAnsi="宋体" w:eastAsia="宋体" w:cs="仿宋_GB2312"/>
                <w:szCs w:val="21"/>
              </w:rPr>
              <w:t>未按时缴纳履约保证金的，视为拒绝签订合同，将不予退还投标保证金。</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谈判报价前意向供应商的保证金未交付或交付错误的不具报价资格。（采购业务根据需要可收取一定金额的投标保证金，履约保证金。投标保证金不得超过采购项目预算2</w:t>
            </w:r>
            <w:r>
              <w:rPr>
                <w:rFonts w:cs="仿宋_GB2312" w:asciiTheme="minorEastAsia" w:hAnsiTheme="minorEastAsia"/>
                <w:szCs w:val="21"/>
              </w:rPr>
              <w:t>%</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万元人民币；履约保证金不得超过中标合同金额的1</w:t>
            </w:r>
            <w:r>
              <w:rPr>
                <w:rFonts w:cs="仿宋_GB2312" w:asciiTheme="minorEastAsia" w:hAnsiTheme="minorEastAsia"/>
                <w:szCs w:val="21"/>
              </w:rPr>
              <w:t>0%</w:t>
            </w:r>
            <w:r>
              <w:rPr>
                <w:rFonts w:hint="eastAsia" w:cs="仿宋_GB2312" w:asciiTheme="minorEastAsia" w:hAnsiTheme="minorEastAsia"/>
                <w:szCs w:val="21"/>
              </w:rPr>
              <w:t>，为防范管理风险，对物流类采购，可在双方协商一致的基础上提高投标保证金的缴纳比例，不得超过采购项目预算的1</w:t>
            </w:r>
            <w:r>
              <w:rPr>
                <w:rFonts w:cs="仿宋_GB2312" w:asciiTheme="minorEastAsia" w:hAnsiTheme="minorEastAsia"/>
                <w:szCs w:val="21"/>
              </w:rPr>
              <w:t>0%</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投标保证金和履约保证金缴纳方式主要是转账支票、电汇、现金。用其他方式缴纳必须由所在财务部门确认。收取投标保证金的需在采购文件中明确管理要求，收取履约保证金的应当在采购合同中明确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退还投标保证金</w:t>
            </w:r>
          </w:p>
        </w:tc>
        <w:tc>
          <w:tcPr>
            <w:tcW w:w="7910" w:type="dxa"/>
          </w:tcPr>
          <w:p>
            <w:pPr>
              <w:snapToGrid w:val="0"/>
              <w:spacing w:line="240" w:lineRule="atLeast"/>
              <w:ind w:firstLine="420" w:firstLineChars="200"/>
              <w:rPr>
                <w:rFonts w:cs="仿宋_GB2312" w:asciiTheme="minorEastAsia" w:hAnsiTheme="minorEastAsia"/>
                <w:szCs w:val="21"/>
              </w:rPr>
            </w:pPr>
            <w:r>
              <w:rPr>
                <w:rFonts w:hint="eastAsia" w:cs="仿宋_GB2312" w:asciiTheme="minorEastAsia" w:hAnsiTheme="minorEastAsia"/>
                <w:szCs w:val="21"/>
              </w:rPr>
              <w:t>公布最终谈判结果后，</w:t>
            </w:r>
            <w:r>
              <w:rPr>
                <w:rFonts w:hint="eastAsia" w:cs="仿宋_GB2312" w:asciiTheme="minorEastAsia" w:hAnsiTheme="minorEastAsia"/>
                <w:b/>
                <w:bCs/>
                <w:szCs w:val="21"/>
              </w:rPr>
              <w:t>招标人将在次月退还</w:t>
            </w:r>
            <w:r>
              <w:rPr>
                <w:rFonts w:hint="eastAsia" w:cs="仿宋_GB2312" w:asciiTheme="minorEastAsia" w:hAnsiTheme="minorEastAsia"/>
                <w:b/>
                <w:bCs/>
                <w:szCs w:val="21"/>
                <w:lang w:val="en-US" w:eastAsia="zh-CN"/>
              </w:rPr>
              <w:t>未中标单位</w:t>
            </w:r>
            <w:r>
              <w:rPr>
                <w:rFonts w:hint="eastAsia" w:cs="仿宋_GB2312" w:asciiTheme="minorEastAsia" w:hAnsiTheme="minorEastAsia"/>
                <w:b/>
                <w:bCs/>
                <w:szCs w:val="21"/>
              </w:rPr>
              <w:t>投标保证金</w:t>
            </w:r>
            <w:r>
              <w:rPr>
                <w:rFonts w:cs="仿宋_GB2312" w:asciiTheme="minorEastAsia" w:hAnsi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不退回投标保证金的其他情形</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提供虚假材料谋取中标、成交的；在响应本次采购中存在围标串标等违法违规行为的；</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中标后，无正当理由拒绝签订合同的。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6</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谈判文件发布及报名截止时间</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谈判文件发放方式：中粮糖业EPS采购平台发布；</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谈判文件发出时间：</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29</w:t>
            </w:r>
            <w:r>
              <w:rPr>
                <w:rFonts w:cs="仿宋_GB2312" w:asciiTheme="minorEastAsia" w:hAnsiTheme="minorEastAsia"/>
                <w:b/>
                <w:bCs/>
                <w:szCs w:val="21"/>
                <w:u w:val="single"/>
              </w:rPr>
              <w:t xml:space="preserve"> </w:t>
            </w:r>
            <w:r>
              <w:rPr>
                <w:rFonts w:hint="eastAsia" w:cs="仿宋_GB2312" w:asciiTheme="minorEastAsia" w:hAnsiTheme="minorEastAsia"/>
                <w:szCs w:val="21"/>
              </w:rPr>
              <w:t>日</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请投标单位于</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szCs w:val="21"/>
                <w:u w:val="single"/>
              </w:rPr>
              <w:t xml:space="preserve"> </w:t>
            </w:r>
            <w:r>
              <w:rPr>
                <w:rFonts w:hint="eastAsia" w:cs="仿宋_GB2312" w:asciiTheme="minorEastAsia" w:hAnsiTheme="minorEastAsia"/>
                <w:b/>
                <w:szCs w:val="21"/>
                <w:u w:val="single"/>
                <w:lang w:val="en-US" w:eastAsia="zh-CN"/>
              </w:rPr>
              <w:t>31</w:t>
            </w:r>
            <w:r>
              <w:rPr>
                <w:rFonts w:cs="仿宋_GB2312" w:asciiTheme="minorEastAsia" w:hAnsiTheme="minorEastAsia"/>
                <w:b/>
                <w:szCs w:val="21"/>
                <w:u w:val="single"/>
              </w:rPr>
              <w:t xml:space="preserve"> </w:t>
            </w:r>
            <w:r>
              <w:rPr>
                <w:rFonts w:hint="eastAsia" w:cs="仿宋_GB2312" w:asciiTheme="minorEastAsia" w:hAnsiTheme="minorEastAsia"/>
                <w:szCs w:val="21"/>
              </w:rPr>
              <w:t>日前完成报名。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7</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谈判文件发布要求</w:t>
            </w:r>
          </w:p>
        </w:tc>
        <w:tc>
          <w:tcPr>
            <w:tcW w:w="7910" w:type="dxa"/>
          </w:tcPr>
          <w:p>
            <w:pPr>
              <w:spacing w:line="240" w:lineRule="atLeast"/>
              <w:rPr>
                <w:rFonts w:cs="仿宋_GB2312"/>
                <w:szCs w:val="21"/>
              </w:rPr>
            </w:pPr>
            <w:r>
              <w:rPr>
                <w:rFonts w:hint="eastAsia" w:cs="仿宋_GB2312"/>
                <w:szCs w:val="21"/>
              </w:rPr>
              <w:t>请仔细检查招标文件是否齐全，如有缺漏，请立即与招标人联系解决。</w:t>
            </w:r>
          </w:p>
          <w:p>
            <w:pPr>
              <w:numPr>
                <w:ilvl w:val="255"/>
                <w:numId w:val="0"/>
              </w:numPr>
              <w:tabs>
                <w:tab w:val="left" w:pos="540"/>
              </w:tabs>
              <w:spacing w:line="240" w:lineRule="atLeast"/>
              <w:rPr>
                <w:rFonts w:cs="仿宋_GB2312"/>
                <w:szCs w:val="21"/>
              </w:rPr>
            </w:pPr>
            <w:r>
              <w:rPr>
                <w:rFonts w:cs="仿宋_GB2312"/>
                <w:szCs w:val="21"/>
              </w:rPr>
              <w:t>1.</w:t>
            </w:r>
            <w:r>
              <w:rPr>
                <w:rFonts w:hint="eastAsia" w:cs="仿宋_GB2312"/>
                <w:szCs w:val="21"/>
              </w:rPr>
              <w:t>投标人被视为充分熟悉本采购项目所在地的与履行合同有关的各种情况，本招标文件不再对上述情况进行描述。</w:t>
            </w:r>
          </w:p>
          <w:p>
            <w:pPr>
              <w:numPr>
                <w:ilvl w:val="255"/>
                <w:numId w:val="0"/>
              </w:numPr>
              <w:tabs>
                <w:tab w:val="left" w:pos="540"/>
              </w:tabs>
              <w:spacing w:line="240" w:lineRule="atLeast"/>
              <w:rPr>
                <w:rFonts w:cs="仿宋_GB2312"/>
                <w:szCs w:val="21"/>
              </w:rPr>
            </w:pPr>
            <w:r>
              <w:rPr>
                <w:rFonts w:cs="仿宋_GB2312"/>
                <w:szCs w:val="21"/>
              </w:rPr>
              <w:t>2.</w:t>
            </w:r>
            <w:r>
              <w:rPr>
                <w:rFonts w:hint="eastAsia" w:cs="仿宋_GB2312"/>
                <w:szCs w:val="21"/>
              </w:rPr>
              <w:t>投标人必须详阅招标文件的所有条款、文件及表格格式。如果投标人的投标文件因自身的疏忽、遗漏不能满足本招标文件的要求,责任由投标人自负。招标人有权拒绝没有实质上响应招标文件要求的投标文件。</w:t>
            </w:r>
          </w:p>
          <w:p>
            <w:pPr>
              <w:numPr>
                <w:ilvl w:val="255"/>
                <w:numId w:val="0"/>
              </w:numPr>
              <w:spacing w:line="240" w:lineRule="atLeast"/>
              <w:rPr>
                <w:rFonts w:cs="仿宋_GB2312"/>
                <w:szCs w:val="21"/>
              </w:rPr>
            </w:pPr>
            <w:r>
              <w:rPr>
                <w:rFonts w:cs="仿宋_GB2312"/>
                <w:szCs w:val="21"/>
              </w:rPr>
              <w:t>3.</w:t>
            </w:r>
            <w:r>
              <w:rPr>
                <w:rFonts w:hint="eastAsia" w:cs="仿宋_GB2312"/>
                <w:szCs w:val="21"/>
              </w:rPr>
              <w:t>招标文件的解释</w:t>
            </w:r>
          </w:p>
          <w:p>
            <w:pPr>
              <w:numPr>
                <w:ilvl w:val="255"/>
                <w:numId w:val="0"/>
              </w:numPr>
              <w:spacing w:line="240" w:lineRule="atLeast"/>
              <w:ind w:firstLine="420" w:firstLineChars="200"/>
              <w:rPr>
                <w:rFonts w:cs="仿宋_GB2312"/>
                <w:b/>
                <w:bCs/>
                <w:szCs w:val="21"/>
              </w:rPr>
            </w:pPr>
            <w:r>
              <w:rPr>
                <w:rFonts w:hint="eastAsia" w:cs="仿宋_GB2312"/>
                <w:szCs w:val="21"/>
              </w:rPr>
              <w:t>如投标人对招标文件有任何疑问，请以电话或电子邮件形式向招标人在此招标文件上列明的联系人询问，不得向其他单位或个人提出任何查询 (除非已经得到招标人的书面同意)。答疑的截止日期在投标截止日期前1天截止，逾期将不予回复。</w:t>
            </w:r>
          </w:p>
          <w:p>
            <w:pPr>
              <w:numPr>
                <w:ilvl w:val="255"/>
                <w:numId w:val="0"/>
              </w:numPr>
              <w:spacing w:line="240" w:lineRule="atLeast"/>
              <w:rPr>
                <w:rFonts w:cs="仿宋_GB2312"/>
                <w:szCs w:val="21"/>
              </w:rPr>
            </w:pPr>
            <w:r>
              <w:rPr>
                <w:rFonts w:cs="仿宋_GB2312"/>
                <w:szCs w:val="21"/>
              </w:rPr>
              <w:t>4.</w:t>
            </w:r>
            <w:r>
              <w:rPr>
                <w:rFonts w:hint="eastAsia" w:cs="仿宋_GB2312"/>
                <w:szCs w:val="21"/>
              </w:rPr>
              <w:t>招标文件的补充</w:t>
            </w:r>
          </w:p>
          <w:p>
            <w:pPr>
              <w:numPr>
                <w:ilvl w:val="255"/>
                <w:numId w:val="0"/>
              </w:numPr>
              <w:tabs>
                <w:tab w:val="left" w:pos="540"/>
              </w:tabs>
              <w:spacing w:line="240" w:lineRule="atLeast"/>
              <w:rPr>
                <w:rFonts w:cs="仿宋_GB2312"/>
                <w:b/>
                <w:bCs/>
                <w:szCs w:val="21"/>
              </w:rPr>
            </w:pPr>
            <w:r>
              <w:rPr>
                <w:rFonts w:cs="仿宋_GB2312"/>
                <w:szCs w:val="21"/>
              </w:rPr>
              <w:t>4.1</w:t>
            </w:r>
            <w:r>
              <w:rPr>
                <w:rFonts w:hint="eastAsia" w:cs="仿宋_GB2312"/>
                <w:szCs w:val="21"/>
              </w:rPr>
              <w:t>在组织招标时间之前，招标人可以根据需要对招标文件用补充文件的方式进行修正。</w:t>
            </w:r>
          </w:p>
          <w:p>
            <w:pPr>
              <w:numPr>
                <w:ilvl w:val="255"/>
                <w:numId w:val="0"/>
              </w:numPr>
              <w:tabs>
                <w:tab w:val="left" w:pos="540"/>
              </w:tabs>
              <w:spacing w:line="240" w:lineRule="atLeast"/>
              <w:rPr>
                <w:rFonts w:cs="仿宋_GB2312"/>
                <w:b/>
                <w:bCs/>
                <w:szCs w:val="21"/>
              </w:rPr>
            </w:pPr>
            <w:r>
              <w:rPr>
                <w:rFonts w:cs="仿宋_GB2312"/>
                <w:szCs w:val="21"/>
              </w:rPr>
              <w:t>4.2</w:t>
            </w:r>
            <w:r>
              <w:rPr>
                <w:rFonts w:hint="eastAsia" w:cs="仿宋_GB2312"/>
                <w:szCs w:val="21"/>
              </w:rPr>
              <w:t xml:space="preserve"> 对招标文件的补充，应以书面形式通知所有投标人。补充文件将作为招标文件的组成部分，对所有投标人有约束力。</w:t>
            </w:r>
          </w:p>
          <w:p>
            <w:pPr>
              <w:snapToGrid w:val="0"/>
              <w:spacing w:line="240" w:lineRule="atLeast"/>
              <w:rPr>
                <w:rFonts w:cs="仿宋_GB2312" w:asciiTheme="minorEastAsia" w:hAnsiTheme="minorEastAsia"/>
                <w:szCs w:val="21"/>
              </w:rPr>
            </w:pPr>
            <w:r>
              <w:rPr>
                <w:rFonts w:cs="仿宋_GB2312"/>
                <w:szCs w:val="21"/>
              </w:rPr>
              <w:t>4.3</w:t>
            </w:r>
            <w:r>
              <w:rPr>
                <w:rFonts w:hint="eastAsia" w:cs="仿宋_GB2312"/>
                <w:szCs w:val="21"/>
              </w:rPr>
              <w:t>为使投标人有足够的时间按招标文件的补充要求修正投标文件，招标人有权决定推迟招标采购的组织招标时间，并将此变更书面通知所有投标人。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8</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开标时间及响应文件提交</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开标时间为</w:t>
            </w:r>
            <w:r>
              <w:rPr>
                <w:rFonts w:cs="仿宋_GB2312" w:asciiTheme="minorEastAsia" w:hAnsiTheme="minorEastAsia"/>
                <w:b/>
                <w:bCs/>
                <w:szCs w:val="21"/>
                <w:u w:val="single"/>
              </w:rPr>
              <w:t>2024</w:t>
            </w:r>
            <w:r>
              <w:rPr>
                <w:rFonts w:hint="eastAsia" w:cs="仿宋_GB2312" w:asciiTheme="minorEastAsia" w:hAnsiTheme="minorEastAsia"/>
                <w:szCs w:val="21"/>
              </w:rPr>
              <w:t>年</w:t>
            </w:r>
            <w:r>
              <w:rPr>
                <w:rFonts w:cs="仿宋_GB2312" w:asciiTheme="minorEastAsia" w:hAnsiTheme="minorEastAsia"/>
                <w:b/>
                <w:bCs/>
                <w:szCs w:val="21"/>
                <w:u w:val="single"/>
              </w:rPr>
              <w:t>0</w:t>
            </w:r>
            <w:r>
              <w:rPr>
                <w:rFonts w:hint="eastAsia" w:cs="仿宋_GB2312" w:asciiTheme="minorEastAsia" w:hAnsiTheme="minorEastAsia"/>
                <w:b/>
                <w:bCs/>
                <w:szCs w:val="21"/>
                <w:u w:val="single"/>
                <w:lang w:val="en-US" w:eastAsia="zh-CN"/>
              </w:rPr>
              <w:t>2</w:t>
            </w:r>
            <w:r>
              <w:rPr>
                <w:rFonts w:hint="eastAsia" w:cs="仿宋_GB2312" w:asciiTheme="minorEastAsia" w:hAnsiTheme="minorEastAsia"/>
                <w:szCs w:val="21"/>
              </w:rPr>
              <w:t>月</w:t>
            </w:r>
            <w:r>
              <w:rPr>
                <w:rFonts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02</w:t>
            </w:r>
            <w:r>
              <w:rPr>
                <w:rFonts w:cs="仿宋_GB2312" w:asciiTheme="minorEastAsia" w:hAnsiTheme="minorEastAsia"/>
                <w:szCs w:val="21"/>
                <w:u w:val="single"/>
              </w:rPr>
              <w:t xml:space="preserve"> </w:t>
            </w:r>
            <w:r>
              <w:rPr>
                <w:rFonts w:hint="eastAsia" w:cs="仿宋_GB2312" w:asciiTheme="minorEastAsia" w:hAnsiTheme="minorEastAsia"/>
                <w:szCs w:val="21"/>
              </w:rPr>
              <w:t>日</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16</w:t>
            </w:r>
            <w:r>
              <w:rPr>
                <w:rFonts w:cs="仿宋_GB2312" w:asciiTheme="minorEastAsia" w:hAnsiTheme="minorEastAsia"/>
                <w:b/>
                <w:bCs/>
                <w:szCs w:val="21"/>
                <w:u w:val="single"/>
              </w:rPr>
              <w:t xml:space="preserve"> </w:t>
            </w:r>
            <w:r>
              <w:rPr>
                <w:rFonts w:hint="eastAsia" w:cs="仿宋_GB2312" w:asciiTheme="minorEastAsia" w:hAnsiTheme="minorEastAsia"/>
                <w:szCs w:val="21"/>
              </w:rPr>
              <w:t>时</w:t>
            </w:r>
            <w:r>
              <w:rPr>
                <w:rFonts w:hint="eastAsia"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00</w:t>
            </w:r>
            <w:r>
              <w:rPr>
                <w:rFonts w:cs="仿宋_GB2312" w:asciiTheme="minorEastAsia" w:hAnsiTheme="minorEastAsia"/>
                <w:szCs w:val="21"/>
                <w:u w:val="single"/>
              </w:rPr>
              <w:t xml:space="preserve"> </w:t>
            </w:r>
            <w:r>
              <w:rPr>
                <w:rFonts w:hint="eastAsia" w:cs="仿宋_GB2312" w:asciiTheme="minorEastAsia" w:hAnsiTheme="minorEastAsia"/>
                <w:szCs w:val="21"/>
              </w:rPr>
              <w:t>分；</w:t>
            </w:r>
          </w:p>
          <w:p>
            <w:pPr>
              <w:snapToGrid w:val="0"/>
              <w:spacing w:line="240" w:lineRule="atLeast"/>
              <w:rPr>
                <w:rFonts w:asciiTheme="minorEastAsia" w:hAnsiTheme="minorEastAsia"/>
                <w:szCs w:val="21"/>
              </w:rPr>
            </w:pPr>
            <w:r>
              <w:rPr>
                <w:rFonts w:hint="eastAsia" w:cs="仿宋_GB2312" w:asciiTheme="minorEastAsia" w:hAnsiTheme="minorEastAsia"/>
                <w:szCs w:val="21"/>
              </w:rPr>
              <w:t>参加谈判的投标人需要在开标前完成报价，并</w:t>
            </w:r>
            <w:r>
              <w:rPr>
                <w:rFonts w:hint="eastAsia" w:asciiTheme="minorEastAsia" w:hAnsiTheme="minorEastAsia"/>
                <w:szCs w:val="21"/>
              </w:rPr>
              <w:t>把谈判响应文件填写完整并加盖公章后，</w:t>
            </w:r>
            <w:r>
              <w:rPr>
                <w:rFonts w:hint="eastAsia" w:cs="仿宋_GB2312" w:asciiTheme="minorEastAsia" w:hAnsiTheme="minorEastAsia"/>
                <w:szCs w:val="21"/>
              </w:rPr>
              <w:t>在E</w:t>
            </w:r>
            <w:r>
              <w:rPr>
                <w:rFonts w:cs="仿宋_GB2312" w:asciiTheme="minorEastAsia" w:hAnsiTheme="minorEastAsia"/>
                <w:szCs w:val="21"/>
              </w:rPr>
              <w:t>PS</w:t>
            </w:r>
            <w:r>
              <w:rPr>
                <w:rFonts w:hint="eastAsia" w:cs="仿宋_GB2312" w:asciiTheme="minorEastAsia" w:hAnsiTheme="minorEastAsia"/>
                <w:szCs w:val="21"/>
              </w:rPr>
              <w:t>系统中上传，</w:t>
            </w:r>
            <w:r>
              <w:rPr>
                <w:rFonts w:hint="eastAsia" w:asciiTheme="minorEastAsia" w:hAnsiTheme="minorEastAsia"/>
                <w:szCs w:val="21"/>
              </w:rPr>
              <w:t>上传文件只接受原件扫描件，不接受电子签，复印件为无效资料。</w:t>
            </w:r>
          </w:p>
          <w:p>
            <w:pPr>
              <w:snapToGrid w:val="0"/>
              <w:spacing w:line="240" w:lineRule="atLeast"/>
              <w:rPr>
                <w:rFonts w:asciiTheme="minorEastAsia" w:hAnsiTheme="minorEastAsia"/>
                <w:szCs w:val="21"/>
              </w:rPr>
            </w:pPr>
            <w:r>
              <w:rPr>
                <w:rFonts w:hint="eastAsia" w:asciiTheme="minorEastAsia" w:hAnsiTheme="minorEastAsia"/>
                <w:bCs/>
                <w:szCs w:val="21"/>
              </w:rPr>
              <w:t>本项目采用“综合评审法”，详见第四章《评审办法》，评审方法中需要提供的评审要件包括但不限于为：“资信证明、“企业业绩”</w:t>
            </w:r>
            <w:r>
              <w:rPr>
                <w:rFonts w:asciiTheme="minorEastAsia" w:hAnsiTheme="minorEastAsia"/>
                <w:bCs/>
                <w:szCs w:val="21"/>
              </w:rPr>
              <w:t xml:space="preserve"> </w:t>
            </w:r>
            <w:r>
              <w:rPr>
                <w:rFonts w:hint="eastAsia" w:asciiTheme="minorEastAsia" w:hAnsiTheme="minorEastAsia"/>
                <w:bCs/>
                <w:szCs w:val="21"/>
              </w:rPr>
              <w:t>、“</w:t>
            </w:r>
            <w:r>
              <w:rPr>
                <w:rFonts w:hint="eastAsia" w:ascii="宋体" w:hAnsi="宋体" w:eastAsia="宋体" w:cs="宋体"/>
                <w:bCs/>
                <w:kern w:val="0"/>
                <w:szCs w:val="21"/>
              </w:rPr>
              <w:t>现场服务管理能力</w:t>
            </w:r>
            <w:r>
              <w:rPr>
                <w:rFonts w:hint="eastAsia" w:asciiTheme="minorEastAsia" w:hAnsiTheme="minorEastAsia"/>
                <w:bCs/>
                <w:szCs w:val="21"/>
              </w:rPr>
              <w:t>”、“人员配置”、“</w:t>
            </w:r>
            <w:r>
              <w:rPr>
                <w:rFonts w:hint="eastAsia" w:ascii="宋体" w:hAnsi="宋体" w:eastAsia="宋体" w:cs="宋体"/>
                <w:bCs/>
                <w:szCs w:val="21"/>
              </w:rPr>
              <w:t>应急响应处置方案</w:t>
            </w:r>
            <w:r>
              <w:rPr>
                <w:rFonts w:hint="eastAsia" w:asciiTheme="minorEastAsia" w:hAnsiTheme="minorEastAsia"/>
                <w:bCs/>
                <w:szCs w:val="21"/>
              </w:rPr>
              <w:t>”、“增值服务”</w:t>
            </w:r>
            <w:r>
              <w:rPr>
                <w:rFonts w:hint="eastAsia" w:asciiTheme="minorEastAsia" w:hAnsiTheme="minorEastAsia"/>
                <w:szCs w:val="21"/>
              </w:rPr>
              <w:t>等。</w:t>
            </w:r>
          </w:p>
          <w:p>
            <w:pPr>
              <w:snapToGrid w:val="0"/>
              <w:spacing w:line="240" w:lineRule="atLeast"/>
              <w:rPr>
                <w:rFonts w:asciiTheme="minorEastAsia" w:hAnsiTheme="minorEastAsia"/>
                <w:szCs w:val="21"/>
              </w:rPr>
            </w:pPr>
            <w:r>
              <w:rPr>
                <w:rFonts w:hint="eastAsia" w:asciiTheme="minorEastAsia" w:hAnsiTheme="minorEastAsia"/>
                <w:bCs/>
                <w:szCs w:val="21"/>
              </w:rPr>
              <w:t>谈判时，供方提供的资料是否充分，将会影响其最终得分。</w:t>
            </w:r>
            <w:r>
              <w:rPr>
                <w:rFonts w:hint="eastAsia" w:cs="仿宋_GB2312" w:asciiTheme="minorEastAsia" w:hAnsiTheme="minorEastAsia"/>
                <w:szCs w:val="21"/>
              </w:rPr>
              <w:t>同时供应商业绩不得造假，一经发现取消投标资格。</w:t>
            </w:r>
            <w:r>
              <w:rPr>
                <w:rFonts w:hint="eastAsia" w:asciiTheme="minorEastAsia" w:hAnsiTheme="minorEastAsia"/>
                <w:szCs w:val="21"/>
              </w:rPr>
              <w:t>在谈判响应截止时间前，响应方未完成响应文件上传工作将被视为放弃响应。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9</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评标方法</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采用综合评标法，详见第四章《评审办法》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20</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谈判地点</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中粮糖业EPS采购平台，腾讯会议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1</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保密原则</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投标人应将所有招标人送出的招标文件包括有关项目资料作为保密文件处理。对于任何违反此规定的投标人的投标文件视为废标。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2</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招标文件约束力</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投标人一旦领取了本招标文件并参加招标，即被认为接受了本招标文件中的所有条件和规定。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3</w:t>
            </w:r>
          </w:p>
        </w:tc>
        <w:tc>
          <w:tcPr>
            <w:tcW w:w="1701" w:type="dxa"/>
          </w:tcPr>
          <w:p>
            <w:pPr>
              <w:jc w:val="left"/>
              <w:rPr>
                <w:rFonts w:cs="仿宋_GB2312" w:asciiTheme="minorEastAsia" w:hAnsiTheme="minorEastAsia"/>
                <w:bCs/>
                <w:szCs w:val="21"/>
              </w:rPr>
            </w:pPr>
            <w:r>
              <w:rPr>
                <w:rFonts w:hint="eastAsia" w:cs="仿宋_GB2312" w:asciiTheme="majorEastAsia" w:hAnsiTheme="majorEastAsia" w:eastAsiaTheme="majorEastAsia"/>
                <w:bCs/>
                <w:szCs w:val="21"/>
              </w:rPr>
              <w:t>谈判文件编制要求</w:t>
            </w:r>
          </w:p>
        </w:tc>
        <w:tc>
          <w:tcPr>
            <w:tcW w:w="7910" w:type="dxa"/>
          </w:tcPr>
          <w:p>
            <w:pPr>
              <w:spacing w:line="240" w:lineRule="atLeast"/>
              <w:rPr>
                <w:rFonts w:asciiTheme="minorEastAsia" w:hAnsiTheme="minorEastAsia"/>
                <w:szCs w:val="21"/>
              </w:rPr>
            </w:pPr>
            <w:r>
              <w:rPr>
                <w:rFonts w:hint="eastAsia" w:asciiTheme="minorEastAsia" w:hAnsiTheme="minorEastAsia"/>
                <w:szCs w:val="21"/>
              </w:rPr>
              <w:t>1.供应商对谈判响应文件应按要求编制。</w:t>
            </w:r>
          </w:p>
          <w:p>
            <w:pPr>
              <w:spacing w:line="240" w:lineRule="atLeast"/>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供应商提交的谈判响应文件以及供应商与采购人就有关谈判的所有来往函电均应使用中文。供应商提交的支持文件和印刷的文献可以使用别的语言，但其相应内容必须附有中文翻译文本，在解释谈判响应文件时以翻译文本为主。</w:t>
            </w:r>
          </w:p>
          <w:p>
            <w:pPr>
              <w:spacing w:line="240" w:lineRule="atLeast"/>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供应商应认真阅读、并充分理解本文件的全部内容（包括所有的补充、修改内容），承诺并履行本文件中各项条款规定及要求。</w:t>
            </w:r>
          </w:p>
          <w:p>
            <w:pPr>
              <w:spacing w:line="240" w:lineRule="atLeast"/>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 谈判响应文件必须按本文件的全部内容，包括所有的补充通知及附件进行编制。</w:t>
            </w:r>
          </w:p>
          <w:p>
            <w:pPr>
              <w:snapToGrid w:val="0"/>
              <w:spacing w:line="240" w:lineRule="atLeast"/>
              <w:rPr>
                <w:rFonts w:cs="仿宋_GB2312" w:asciiTheme="minorEastAsia" w:hAnsiTheme="minorEastAsia"/>
                <w:szCs w:val="21"/>
              </w:rPr>
            </w:pPr>
            <w:r>
              <w:rPr>
                <w:rFonts w:hint="eastAsia" w:asciiTheme="minorEastAsia" w:hAnsiTheme="minorEastAsia"/>
                <w:szCs w:val="21"/>
              </w:rPr>
              <w:t>5</w:t>
            </w:r>
            <w:r>
              <w:rPr>
                <w:rFonts w:asciiTheme="minorEastAsia" w:hAnsiTheme="minorEastAsia"/>
                <w:szCs w:val="21"/>
              </w:rPr>
              <w:t>.</w:t>
            </w:r>
            <w:r>
              <w:rPr>
                <w:rFonts w:hint="eastAsia" w:asciiTheme="minorEastAsia" w:hAnsiTheme="minorEastAsia"/>
                <w:szCs w:val="21"/>
              </w:rPr>
              <w:t>如因供应商只填写和提供了本文件要求的部分内容和附件，而给评审造成困难，其可能导致的结果和责任由供应商自行承担。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报价要求</w:t>
            </w:r>
          </w:p>
        </w:tc>
        <w:tc>
          <w:tcPr>
            <w:tcW w:w="7910" w:type="dxa"/>
          </w:tcPr>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投标人在计算投标报价时应充分考虑可能蕴含的风险因素。投标人可先到工厂踏勘，以充分了解工厂位置、情况、道路、服务区域及任何其他足以影响投标报价的情况，任何因忽视或误解工厂情况而导致的索赔或服务延后申请将不被批准。投标人填报的报价由投标人自行承担全部风险并达到预期的质量要求，中标后除采购文件及服务合同条款规定外，不得以任何理由调整报价或追加任何费用。（以上为例，具体报价要求根据实际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废标原则</w:t>
            </w:r>
          </w:p>
        </w:tc>
        <w:tc>
          <w:tcPr>
            <w:tcW w:w="7910" w:type="dxa"/>
          </w:tcPr>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1.未按规定标志、密封的投标文件；</w:t>
            </w:r>
          </w:p>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2.未经法定或授权代表人签署盖章的投标文件；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3.未提供有效的营业执照、经营业务许可证和税务登记证的投标文件；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4.经审核无投标资格的投标代表递交的投标文件；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5.未按规定格式填写，内容不全或字迹模糊、辨认不清的投标文件；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6.投标截止时间以后送达的投标文件；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7.未完成或部分完成的投标文件；</w:t>
            </w:r>
          </w:p>
          <w:p>
            <w:pPr>
              <w:numPr>
                <w:ilvl w:val="255"/>
                <w:numId w:val="0"/>
              </w:numPr>
              <w:autoSpaceDE w:val="0"/>
              <w:autoSpaceDN w:val="0"/>
              <w:adjustRightInd w:val="0"/>
              <w:spacing w:line="240" w:lineRule="atLeast"/>
              <w:ind w:right="567"/>
              <w:jc w:val="left"/>
              <w:rPr>
                <w:rFonts w:ascii="宋体" w:hAnsi="宋体" w:eastAsia="宋体" w:cs="仿宋_GB2312"/>
                <w:bCs/>
                <w:kern w:val="0"/>
                <w:szCs w:val="21"/>
              </w:rPr>
            </w:pPr>
            <w:r>
              <w:rPr>
                <w:rFonts w:hint="eastAsia" w:ascii="宋体" w:hAnsi="宋体" w:eastAsia="宋体" w:cs="仿宋_GB2312"/>
                <w:kern w:val="0"/>
                <w:szCs w:val="21"/>
              </w:rPr>
              <w:t>8.未交纳投标保证金的</w:t>
            </w:r>
            <w:r>
              <w:rPr>
                <w:rFonts w:hint="eastAsia" w:ascii="宋体" w:hAnsi="宋体" w:eastAsia="宋体" w:cs="仿宋_GB2312"/>
                <w:bCs/>
                <w:kern w:val="0"/>
                <w:szCs w:val="21"/>
              </w:rPr>
              <w:t>投标代表递交的投标文件；</w:t>
            </w:r>
          </w:p>
          <w:p>
            <w:pPr>
              <w:snapToGrid w:val="0"/>
              <w:spacing w:line="240" w:lineRule="atLeast"/>
              <w:rPr>
                <w:rFonts w:ascii="宋体" w:hAnsi="宋体" w:eastAsia="宋体" w:cs="仿宋_GB2312"/>
                <w:b/>
                <w:bCs/>
                <w:szCs w:val="21"/>
              </w:rPr>
            </w:pPr>
            <w:r>
              <w:rPr>
                <w:rFonts w:hint="eastAsia" w:ascii="宋体" w:hAnsi="宋体" w:eastAsia="宋体" w:cs="仿宋_GB2312"/>
                <w:bCs/>
                <w:kern w:val="0"/>
                <w:szCs w:val="21"/>
              </w:rPr>
              <w:t>9.未实质响应本竞争性谈判文件要求的</w:t>
            </w:r>
            <w:r>
              <w:rPr>
                <w:rFonts w:hint="eastAsia" w:ascii="宋体" w:hAnsi="宋体" w:eastAsia="宋体" w:cs="仿宋_GB2312"/>
                <w:kern w:val="0"/>
                <w:szCs w:val="21"/>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6</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中标通知书发布</w:t>
            </w:r>
          </w:p>
        </w:tc>
        <w:tc>
          <w:tcPr>
            <w:tcW w:w="7910" w:type="dxa"/>
          </w:tcPr>
          <w:p>
            <w:pPr>
              <w:snapToGrid w:val="0"/>
              <w:spacing w:line="240" w:lineRule="atLeast"/>
              <w:ind w:firstLine="315" w:firstLineChars="150"/>
              <w:rPr>
                <w:rFonts w:ascii="宋体" w:hAnsi="宋体" w:eastAsia="宋体" w:cs="仿宋_GB2312"/>
                <w:szCs w:val="21"/>
              </w:rPr>
            </w:pPr>
            <w:r>
              <w:rPr>
                <w:rFonts w:hint="eastAsia" w:cs="仿宋_GB2312" w:asciiTheme="minorEastAsia" w:hAnsiTheme="minorEastAsia"/>
                <w:bCs/>
                <w:szCs w:val="21"/>
              </w:rPr>
              <w:t>招标人将在评标结束后在</w:t>
            </w:r>
            <w:r>
              <w:rPr>
                <w:rFonts w:hint="eastAsia" w:cs="仿宋_GB2312" w:asciiTheme="minorEastAsia" w:hAnsiTheme="minorEastAsia"/>
                <w:szCs w:val="21"/>
              </w:rPr>
              <w:t>http://eps.tunhe.com平台网站</w:t>
            </w:r>
            <w:r>
              <w:rPr>
                <w:rFonts w:hint="eastAsia" w:cs="仿宋_GB2312" w:asciiTheme="minorEastAsia" w:hAnsiTheme="minorEastAsia"/>
                <w:bCs/>
                <w:szCs w:val="21"/>
              </w:rPr>
              <w:t>向中标人发出《中标通知书》，同时向所有落标人发出《招标结果通知书》。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7</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合同签订要求</w:t>
            </w:r>
          </w:p>
        </w:tc>
        <w:tc>
          <w:tcPr>
            <w:tcW w:w="7910" w:type="dxa"/>
          </w:tcPr>
          <w:p>
            <w:pPr>
              <w:snapToGrid w:val="0"/>
              <w:spacing w:line="240" w:lineRule="atLeast"/>
              <w:ind w:firstLine="315" w:firstLineChars="150"/>
              <w:rPr>
                <w:rFonts w:ascii="宋体" w:hAnsi="宋体" w:eastAsia="宋体" w:cs="仿宋_GB2312"/>
                <w:sz w:val="18"/>
                <w:szCs w:val="18"/>
              </w:rPr>
            </w:pPr>
            <w:r>
              <w:rPr>
                <w:rFonts w:hint="eastAsia" w:cs="仿宋_GB2312" w:asciiTheme="minorEastAsia" w:hAnsiTheme="minorEastAsia"/>
                <w:szCs w:val="21"/>
              </w:rPr>
              <w:t>中标人在收到《中标通知书》之后，应按照《中标通知书》规定的时间签订合同。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6" w:type="dxa"/>
          </w:tcPr>
          <w:p>
            <w:pPr>
              <w:jc w:val="left"/>
              <w:rPr>
                <w:rFonts w:asciiTheme="minorEastAsia" w:hAnsiTheme="minorEastAsia"/>
                <w:sz w:val="18"/>
                <w:szCs w:val="18"/>
              </w:rPr>
            </w:pPr>
            <w:r>
              <w:rPr>
                <w:rFonts w:asciiTheme="minorEastAsia" w:hAnsiTheme="minorEastAsia"/>
                <w:sz w:val="18"/>
                <w:szCs w:val="18"/>
              </w:rPr>
              <w:t>28</w:t>
            </w:r>
          </w:p>
        </w:tc>
        <w:tc>
          <w:tcPr>
            <w:tcW w:w="1701" w:type="dxa"/>
          </w:tcPr>
          <w:p>
            <w:pPr>
              <w:jc w:val="left"/>
              <w:rPr>
                <w:rFonts w:cs="仿宋_GB2312" w:asciiTheme="minorEastAsia" w:hAnsiTheme="minorEastAsia"/>
                <w:bCs/>
                <w:szCs w:val="21"/>
              </w:rPr>
            </w:pPr>
            <w:r>
              <w:rPr>
                <w:rFonts w:hint="eastAsia"/>
              </w:rPr>
              <w:t>项目联系人</w:t>
            </w:r>
          </w:p>
        </w:tc>
        <w:tc>
          <w:tcPr>
            <w:tcW w:w="7910" w:type="dxa"/>
          </w:tcPr>
          <w:p>
            <w:pPr>
              <w:pStyle w:val="23"/>
              <w:spacing w:line="240" w:lineRule="atLeast"/>
              <w:ind w:left="0" w:leftChars="0" w:firstLine="0" w:firstLineChars="0"/>
            </w:pPr>
            <w:r>
              <w:rPr>
                <w:rFonts w:hint="eastAsia"/>
              </w:rPr>
              <w:t>联系人：郝红艳</w:t>
            </w:r>
            <w:r>
              <w:t xml:space="preserve"> </w:t>
            </w:r>
            <w:r>
              <w:rPr>
                <w:rFonts w:hint="eastAsia"/>
              </w:rPr>
              <w:t>联系电话：1</w:t>
            </w:r>
            <w:r>
              <w:t>3582901593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426" w:type="dxa"/>
          </w:tcPr>
          <w:p>
            <w:pPr>
              <w:jc w:val="left"/>
              <w:rPr>
                <w:rFonts w:ascii="宋体" w:hAnsi="宋体" w:eastAsia="宋体"/>
                <w:szCs w:val="21"/>
              </w:rPr>
            </w:pPr>
            <w:r>
              <w:rPr>
                <w:rFonts w:ascii="宋体" w:hAnsi="宋体" w:eastAsia="宋体"/>
                <w:szCs w:val="21"/>
              </w:rPr>
              <w:t>29</w:t>
            </w:r>
          </w:p>
        </w:tc>
        <w:tc>
          <w:tcPr>
            <w:tcW w:w="1701" w:type="dxa"/>
          </w:tcPr>
          <w:p>
            <w:pPr>
              <w:spacing w:line="360" w:lineRule="auto"/>
              <w:ind w:firstLine="315" w:firstLineChars="150"/>
              <w:rPr>
                <w:rFonts w:ascii="宋体" w:hAnsi="宋体" w:eastAsia="宋体" w:cs="仿宋_GB2312"/>
                <w:szCs w:val="21"/>
              </w:rPr>
            </w:pPr>
            <w:r>
              <w:rPr>
                <w:rFonts w:hint="eastAsia" w:ascii="宋体" w:hAnsi="宋体" w:eastAsia="宋体" w:cs="仿宋_GB2312"/>
                <w:szCs w:val="21"/>
              </w:rPr>
              <w:t>中粮糖业采购监督联系方式</w:t>
            </w:r>
          </w:p>
          <w:p>
            <w:pPr>
              <w:jc w:val="left"/>
              <w:rPr>
                <w:rFonts w:ascii="宋体" w:hAnsi="宋体" w:eastAsia="宋体" w:cs="仿宋_GB2312"/>
                <w:szCs w:val="21"/>
              </w:rPr>
            </w:pPr>
          </w:p>
        </w:tc>
        <w:tc>
          <w:tcPr>
            <w:tcW w:w="7910" w:type="dxa"/>
          </w:tcPr>
          <w:p>
            <w:pPr>
              <w:snapToGrid w:val="0"/>
              <w:spacing w:line="240" w:lineRule="atLeast"/>
              <w:rPr>
                <w:rFonts w:hint="eastAsia" w:ascii="宋体" w:hAnsi="宋体" w:eastAsia="宋体" w:cs="仿宋_GB2312"/>
                <w:szCs w:val="21"/>
                <w:lang w:val="en-US" w:eastAsia="zh-CN"/>
              </w:rPr>
            </w:pPr>
            <w:r>
              <w:rPr>
                <w:rFonts w:hint="eastAsia" w:ascii="宋体" w:hAnsi="宋体" w:eastAsia="宋体" w:cs="仿宋_GB2312"/>
                <w:szCs w:val="21"/>
                <w:lang w:val="en-US" w:eastAsia="zh-CN"/>
              </w:rPr>
              <w:t>凡发现违规违纪现象均可通过电话、邮件、信件等方式进行举报，举报联络方式如下：</w:t>
            </w:r>
          </w:p>
          <w:p>
            <w:pPr>
              <w:snapToGrid w:val="0"/>
              <w:spacing w:line="240" w:lineRule="atLeast"/>
              <w:rPr>
                <w:rFonts w:hint="eastAsia" w:ascii="宋体" w:hAnsi="宋体" w:eastAsia="宋体" w:cs="仿宋_GB2312"/>
                <w:szCs w:val="21"/>
              </w:rPr>
            </w:pPr>
            <w:r>
              <w:rPr>
                <w:rFonts w:hint="eastAsia" w:ascii="宋体" w:hAnsi="宋体" w:eastAsia="宋体" w:cs="仿宋_GB2312"/>
                <w:b/>
                <w:bCs/>
                <w:szCs w:val="21"/>
                <w:lang w:val="en-US" w:eastAsia="zh-CN"/>
              </w:rPr>
              <w:t>一、</w:t>
            </w:r>
            <w:r>
              <w:rPr>
                <w:rFonts w:hint="eastAsia" w:ascii="宋体" w:hAnsi="宋体" w:eastAsia="宋体" w:cs="仿宋_GB2312"/>
                <w:b/>
                <w:bCs/>
                <w:szCs w:val="21"/>
              </w:rPr>
              <w:t>上一级（中粮糖业）纪检监督联络方式： </w:t>
            </w:r>
            <w:r>
              <w:rPr>
                <w:rFonts w:hint="eastAsia" w:ascii="宋体" w:hAnsi="宋体" w:eastAsia="宋体" w:cs="仿宋_GB2312"/>
                <w:szCs w:val="21"/>
              </w:rPr>
              <w:t>       </w:t>
            </w:r>
            <w:r>
              <w:rPr>
                <w:rFonts w:hint="eastAsia" w:ascii="宋体" w:hAnsi="宋体" w:eastAsia="宋体" w:cs="仿宋_GB2312"/>
                <w:szCs w:val="21"/>
              </w:rPr>
              <w:br w:type="textWrapping"/>
            </w:r>
            <w:r>
              <w:rPr>
                <w:rFonts w:hint="eastAsia" w:ascii="宋体" w:hAnsi="宋体" w:eastAsia="宋体" w:cs="仿宋_GB2312"/>
                <w:szCs w:val="21"/>
              </w:rPr>
              <w:t xml:space="preserve">办公电话：010-85017235  </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通信地址：北京朝阳区朝阳门南大</w:t>
            </w:r>
            <w:bookmarkStart w:id="7" w:name="_GoBack"/>
            <w:bookmarkEnd w:id="7"/>
            <w:r>
              <w:rPr>
                <w:rFonts w:hint="eastAsia" w:ascii="宋体" w:hAnsi="宋体" w:eastAsia="宋体" w:cs="仿宋_GB2312"/>
                <w:szCs w:val="21"/>
              </w:rPr>
              <w:t>街8号中粮福临门大厦9层905房间中粮糖业纪委办公室（收）邮政编码：100020</w:t>
            </w:r>
          </w:p>
          <w:p>
            <w:pPr>
              <w:snapToGrid w:val="0"/>
              <w:spacing w:line="240" w:lineRule="atLeast"/>
              <w:rPr>
                <w:rFonts w:hint="eastAsia" w:ascii="宋体" w:hAnsi="宋体" w:eastAsia="宋体" w:cs="仿宋_GB2312"/>
                <w:b/>
                <w:bCs/>
                <w:szCs w:val="21"/>
              </w:rPr>
            </w:pPr>
            <w:r>
              <w:rPr>
                <w:rFonts w:hint="eastAsia" w:ascii="宋体" w:hAnsi="宋体" w:eastAsia="宋体" w:cs="仿宋_GB2312"/>
                <w:b/>
                <w:bCs/>
                <w:szCs w:val="21"/>
              </w:rPr>
              <w:t>二、唐山糖业公司纪检监督联络方式</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 xml:space="preserve">办公电话：0315-8799003   </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电子邮箱：ninghaishan@cofco.com</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通信地址：唐山市曹妃甸区曹妃甸工业区二港池西岸中粮（唐山）糖业有限公司综合管理部（收）邮政编码：063200</w:t>
            </w:r>
          </w:p>
        </w:tc>
      </w:tr>
    </w:tbl>
    <w:p>
      <w:pPr>
        <w:rPr>
          <w:rFonts w:cs="仿宋_GB2312" w:asciiTheme="minorEastAsia" w:hAnsiTheme="minorEastAsia"/>
          <w:kern w:val="0"/>
          <w:sz w:val="20"/>
          <w:szCs w:val="28"/>
        </w:rPr>
      </w:pPr>
      <w:bookmarkStart w:id="1" w:name="_Toc19347"/>
      <w:bookmarkStart w:id="2" w:name="_Toc21028"/>
      <w:bookmarkStart w:id="3" w:name="_Toc490749736"/>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r>
        <w:rPr>
          <w:rFonts w:hint="eastAsia" w:ascii="黑体" w:eastAsia="黑体"/>
          <w:bCs/>
          <w:sz w:val="36"/>
          <w:szCs w:val="36"/>
        </w:rPr>
        <w:t xml:space="preserve">第二章 </w:t>
      </w:r>
      <w:r>
        <w:rPr>
          <w:rFonts w:hint="eastAsia" w:ascii="黑体" w:eastAsia="黑体"/>
          <w:bCs/>
          <w:sz w:val="36"/>
          <w:szCs w:val="36"/>
          <w:lang w:val="en-US" w:eastAsia="zh-CN"/>
        </w:rPr>
        <w:t>改造方案及</w:t>
      </w:r>
      <w:r>
        <w:rPr>
          <w:rFonts w:hint="eastAsia" w:ascii="黑体" w:eastAsia="黑体"/>
          <w:bCs/>
          <w:sz w:val="36"/>
          <w:szCs w:val="36"/>
        </w:rPr>
        <w:t>技术要求</w:t>
      </w:r>
    </w:p>
    <w:p>
      <w:pPr>
        <w:rPr>
          <w:rFonts w:ascii="黑体" w:eastAsia="黑体"/>
          <w:bCs/>
          <w:sz w:val="36"/>
          <w:szCs w:val="36"/>
          <w:u w:val="single"/>
        </w:rPr>
      </w:pPr>
      <w:r>
        <w:rPr>
          <w:rFonts w:hint="eastAsia" w:ascii="黑体" w:eastAsia="黑体"/>
          <w:bCs/>
          <w:sz w:val="36"/>
          <w:szCs w:val="36"/>
          <w:u w:val="single"/>
        </w:rPr>
        <w:t xml:space="preserve"> </w:t>
      </w:r>
      <w:r>
        <w:rPr>
          <w:rFonts w:ascii="黑体" w:eastAsia="黑体"/>
          <w:bCs/>
          <w:sz w:val="36"/>
          <w:szCs w:val="36"/>
          <w:u w:val="single"/>
        </w:rPr>
        <w:t xml:space="preserve">                                                   </w:t>
      </w:r>
    </w:p>
    <w:p>
      <w:pPr>
        <w:pStyle w:val="4"/>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信息系统现状</w:t>
      </w:r>
    </w:p>
    <w:p>
      <w:pPr>
        <w:pStyle w:val="5"/>
        <w:pageBreakBefore w:val="0"/>
        <w:tabs>
          <w:tab w:val="left" w:pos="1440"/>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1.1 生产经营等信息系统现状</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SAP ERP系统</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ERP系统采用统一软件平台（SAP商务套件），按需要由中粮糖业集团集中部署，形成既具有业务特点又紧密集成、适度集中式技术架构。中粮糖业集团各单位ERP系统使用统一的业务流程，集中在一套服务器群上运行。目前系统已在中粮糖业集团各单位上线运行，ERP系统是支撑唐山糖业经营管理的基础平台。</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蓝科合并财务报表信息系统</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蓝科合并财务报表信息系统在集团公司全面应用。实现了财务数据的合并、抵消、准则转换并出具法定财务报表及其附注。</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生产管理系统（西门子DCS）</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生产自控系统作为唐山糖业信息系统的重要组成部分，通过DCS中控系统高效、精确、便捷地对各项设备及环节进行数字化远程监控及操作。</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物流运营系统</w:t>
      </w:r>
    </w:p>
    <w:p>
      <w:pPr>
        <w:pageBreakBefore w:val="0"/>
        <w:kinsoku/>
        <w:wordWrap/>
        <w:overflowPunct/>
        <w:topLinePunct w:val="0"/>
        <w:autoSpaceDE/>
        <w:autoSpaceDN/>
        <w:bidi w:val="0"/>
        <w:adjustRightInd/>
        <w:snapToGrid/>
        <w:spacing w:line="360" w:lineRule="auto"/>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物流运营管理系统使生产线到物流，实现整体管控大大提高了物流的发运效率与生产物流的管理，借助物流运营管理系统将实现全自动取数提升管理效率。</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设备管理系统</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唐山糖业拟建设的设备管理系统是唐山糖业信息系统的重要组成部分，该系统对生产经营设备进行实物管理，包括设备资产与技术管理，设备缺陷与事故管理，备品备件管理等</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能源管理</w:t>
      </w:r>
    </w:p>
    <w:p>
      <w:pPr>
        <w:pageBreakBefore w:val="0"/>
        <w:kinsoku/>
        <w:wordWrap/>
        <w:overflowPunct/>
        <w:topLinePunct w:val="0"/>
        <w:autoSpaceDE/>
        <w:autoSpaceDN/>
        <w:bidi w:val="0"/>
        <w:adjustRightInd/>
        <w:snapToGrid/>
        <w:spacing w:line="360" w:lineRule="auto"/>
        <w:ind w:firstLine="424" w:firstLineChars="202"/>
        <w:textAlignment w:val="auto"/>
        <w:rPr>
          <w:rFonts w:hint="eastAsia" w:ascii="宋体" w:hAnsi="宋体" w:eastAsia="宋体" w:cs="宋体"/>
          <w:sz w:val="21"/>
          <w:szCs w:val="21"/>
        </w:rPr>
      </w:pPr>
      <w:r>
        <w:rPr>
          <w:rFonts w:hint="eastAsia" w:ascii="宋体" w:hAnsi="宋体" w:eastAsia="宋体" w:cs="宋体"/>
          <w:sz w:val="21"/>
          <w:szCs w:val="21"/>
        </w:rPr>
        <w:t>拟建设的能源管理系统是生产管理系统的一部分，该系统对生产耗用能耗进行了系统的统计及实时展示，提供了能源管理平台，同时支持在线环保数据监测数据的对接及能源耗用模拟测算等功能。</w:t>
      </w:r>
    </w:p>
    <w:p>
      <w:pPr>
        <w:pStyle w:val="5"/>
        <w:pageBreakBefore w:val="0"/>
        <w:tabs>
          <w:tab w:val="left" w:pos="1440"/>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1.2 决策支持系统现状</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目前中粮糖业集团有统一建设的BI分析系统或分析模块，出于不同目的与应用的相关决策支持系统功能如下：</w:t>
      </w:r>
    </w:p>
    <w:p>
      <w:pPr>
        <w:pageBreakBefore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总部</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总部层面的决策支持系统以部门管理需求为出发点进行建设，主要是建设了运营数据仓库，前端展现选用专业BI工具进行展示。</w:t>
      </w:r>
    </w:p>
    <w:p>
      <w:pPr>
        <w:pageBreakBefore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唐山糖业</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唐山糖业各板块根据自己的业务管理需要，需要构建不同的分析系统。</w:t>
      </w:r>
    </w:p>
    <w:p>
      <w:pPr>
        <w:pageBreakBefore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中粮糖业集团SAP BW现状</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BW系统是中粮糖业集团信息系统的重要组成部分，中粮糖业集团BW系统根据需要定期抽取SAP ERP中的数据，对外提供HANA视图供外部系统访问，外部系统可以定期通过HANA视图抽取BW中的数据。</w:t>
      </w:r>
    </w:p>
    <w:p>
      <w:pPr>
        <w:pStyle w:val="4"/>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2 业务需求</w:t>
      </w:r>
    </w:p>
    <w:p>
      <w:pPr>
        <w:pStyle w:val="5"/>
        <w:pageBreakBefore w:val="0"/>
        <w:tabs>
          <w:tab w:val="left" w:pos="1440"/>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2.1 总体需求</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唐山糖业数据分析平台项目总体业务需求概括为以下几部分：</w:t>
      </w:r>
    </w:p>
    <w:p>
      <w:pPr>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提高业务联动程度</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提高公司内部业务联动程度，实现原糖、动力、品控、采购、生产、物流、财务，人力资源等领域的相关业务协同，结合业务需求和信息系统支撑情况，实现不同业务之间的数据交互和信息共享，进一步优化业务流程，通过协同优化提升业务水平和管理水平。</w:t>
      </w:r>
    </w:p>
    <w:p>
      <w:pPr>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提高数据及时、准确与有效性，提高业务信息利用效率及效果</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一方面使现有信息系统的资源、功能和信息得到共享、互用，打破信息壁垒，提高数据及时、准确与有效性；另一方面需要对历史数据进行分析和挖掘，提高业务信息利用效率与效果，促进数据资产增值。</w:t>
      </w:r>
    </w:p>
    <w:p>
      <w:pPr>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加强信息系统对关键业务信息的深化应用</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加强信息系统建设，提升系统功能，提升系统易用性和运行效率，简化业务人员操作，方便管理人员分析，提高工作效率；深化业务信息利用，提升决策支持能力，支持各专业公司内部主要业务数据可视化及业务协同，更好支持公司业务发展。</w:t>
      </w:r>
    </w:p>
    <w:p>
      <w:pPr>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提高企业绩效管理及决策支持水平</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以公司统一的管理目标为导向，建立一套科学先进的关键业务指标（KPI）体系。有效整合相关系统数据，在高质量数据和先进管理思想的基础上，构建统一的统计、分析、预测平台，帮助各级管理人员进行业务分析和决策，主要包括对生产运行的模拟预测、经营活动的分析；提供准确的成本和效益分析，支持管理决策；建立企业绩效指标体系。</w:t>
      </w:r>
    </w:p>
    <w:p>
      <w:pPr>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加强企业风险管理</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加强风险管理，随时了解企业的生产经营活动情况，加强对企业的监管和考核，支持企业规避风险。</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目前项目总体需求整理工作已经基本完成，项目组参考相关公司的最佳实践，分析公司业务特点及本项目的功能特点，设计出了唐山糖业数据分析平台项目基于价值链的数据分析主线，包括：炼糖、动力、品控、采购、生产、物流、财务、运营、人力资源等分析主线。</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2291080"/>
            <wp:effectExtent l="0" t="0" r="0" b="0"/>
            <wp:docPr id="1540585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85305" name="图片 1"/>
                    <pic:cNvPicPr>
                      <a:picLocks noChangeAspect="1"/>
                    </pic:cNvPicPr>
                  </pic:nvPicPr>
                  <pic:blipFill>
                    <a:blip r:embed="rId7"/>
                    <a:stretch>
                      <a:fillRect/>
                    </a:stretch>
                  </pic:blipFill>
                  <pic:spPr>
                    <a:xfrm>
                      <a:off x="0" y="0"/>
                      <a:ext cx="5731510" cy="229108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唐山糖业数据分析平台项目业务需求应包含但不限于以上需求。</w:t>
      </w:r>
    </w:p>
    <w:p>
      <w:pPr>
        <w:pStyle w:val="5"/>
        <w:pageBreakBefore w:val="0"/>
        <w:tabs>
          <w:tab w:val="left" w:pos="1440"/>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2.2数据分析平台需求</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结合唐山糖业生产经营目标，为提升唐山糖业管理能力，满足各部门、各价值链环境在横向和纵向的管理要求，同时紧抓管控重点，加强履行管控职责，数据分析平台应满足如下需求：</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842000" cy="2986405"/>
            <wp:effectExtent l="0" t="0" r="0" b="0"/>
            <wp:docPr id="1594214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14157" name="图片 1"/>
                    <pic:cNvPicPr>
                      <a:picLocks noChangeAspect="1"/>
                    </pic:cNvPicPr>
                  </pic:nvPicPr>
                  <pic:blipFill>
                    <a:blip r:embed="rId8"/>
                    <a:stretch>
                      <a:fillRect/>
                    </a:stretch>
                  </pic:blipFill>
                  <pic:spPr>
                    <a:xfrm>
                      <a:off x="0" y="0"/>
                      <a:ext cx="5871816" cy="300200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3012440"/>
            <wp:effectExtent l="0" t="0" r="0" b="0"/>
            <wp:docPr id="1644346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6197" name="图片 1"/>
                    <pic:cNvPicPr>
                      <a:picLocks noChangeAspect="1"/>
                    </pic:cNvPicPr>
                  </pic:nvPicPr>
                  <pic:blipFill>
                    <a:blip r:embed="rId9"/>
                    <a:stretch>
                      <a:fillRect/>
                    </a:stretch>
                  </pic:blipFill>
                  <pic:spPr>
                    <a:xfrm>
                      <a:off x="0" y="0"/>
                      <a:ext cx="5731510" cy="301244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3185160"/>
            <wp:effectExtent l="0" t="0" r="0" b="0"/>
            <wp:docPr id="74646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6486" name="图片 1"/>
                    <pic:cNvPicPr>
                      <a:picLocks noChangeAspect="1"/>
                    </pic:cNvPicPr>
                  </pic:nvPicPr>
                  <pic:blipFill>
                    <a:blip r:embed="rId10"/>
                    <a:stretch>
                      <a:fillRect/>
                    </a:stretch>
                  </pic:blipFill>
                  <pic:spPr>
                    <a:xfrm>
                      <a:off x="0" y="0"/>
                      <a:ext cx="5731510" cy="318516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3360420"/>
            <wp:effectExtent l="0" t="0" r="0" b="0"/>
            <wp:docPr id="803478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78212" name="图片 1"/>
                    <pic:cNvPicPr>
                      <a:picLocks noChangeAspect="1"/>
                    </pic:cNvPicPr>
                  </pic:nvPicPr>
                  <pic:blipFill>
                    <a:blip r:embed="rId11"/>
                    <a:stretch>
                      <a:fillRect/>
                    </a:stretch>
                  </pic:blipFill>
                  <pic:spPr>
                    <a:xfrm>
                      <a:off x="0" y="0"/>
                      <a:ext cx="5731510" cy="336042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3070860"/>
            <wp:effectExtent l="0" t="0" r="0" b="0"/>
            <wp:docPr id="1320144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44163" name="图片 1"/>
                    <pic:cNvPicPr>
                      <a:picLocks noChangeAspect="1"/>
                    </pic:cNvPicPr>
                  </pic:nvPicPr>
                  <pic:blipFill>
                    <a:blip r:embed="rId12"/>
                    <a:stretch>
                      <a:fillRect/>
                    </a:stretch>
                  </pic:blipFill>
                  <pic:spPr>
                    <a:xfrm>
                      <a:off x="0" y="0"/>
                      <a:ext cx="5731510" cy="307086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91505" cy="3201670"/>
            <wp:effectExtent l="0" t="0" r="4445" b="1778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3"/>
                    <a:stretch>
                      <a:fillRect/>
                    </a:stretch>
                  </pic:blipFill>
                  <pic:spPr>
                    <a:xfrm>
                      <a:off x="0" y="0"/>
                      <a:ext cx="5691505" cy="32016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91505" cy="3201670"/>
            <wp:effectExtent l="0" t="0" r="4445" b="1778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14"/>
                    <a:stretch>
                      <a:fillRect/>
                    </a:stretch>
                  </pic:blipFill>
                  <pic:spPr>
                    <a:xfrm>
                      <a:off x="0" y="0"/>
                      <a:ext cx="5691505" cy="32016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以上仅是唐山糖业数据分析平台项目初步梳理的决策支持需求，随着本项目调研和详细设计的开展，具体业务需求可能会有所变动以及更加明确，所以数据分析平台需求应包含但不限于以上所列需求。</w:t>
      </w:r>
    </w:p>
    <w:p>
      <w:pPr>
        <w:pStyle w:val="4"/>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3 总体设计</w:t>
      </w:r>
    </w:p>
    <w:p>
      <w:pPr>
        <w:pStyle w:val="5"/>
        <w:pageBreakBefore w:val="0"/>
        <w:tabs>
          <w:tab w:val="left" w:pos="1134"/>
        </w:tabs>
        <w:kinsoku/>
        <w:wordWrap/>
        <w:overflowPunct/>
        <w:topLinePunct w:val="0"/>
        <w:autoSpaceDE/>
        <w:autoSpaceDN/>
        <w:bidi w:val="0"/>
        <w:adjustRightInd/>
        <w:snapToGrid/>
        <w:spacing w:after="156" w:afterLines="50" w:line="360" w:lineRule="auto"/>
        <w:textAlignment w:val="auto"/>
        <w:rPr>
          <w:rFonts w:hint="eastAsia" w:ascii="宋体" w:hAnsi="宋体" w:eastAsia="宋体" w:cs="宋体"/>
          <w:sz w:val="21"/>
          <w:szCs w:val="21"/>
        </w:rPr>
      </w:pPr>
      <w:r>
        <w:rPr>
          <w:rFonts w:hint="eastAsia" w:ascii="宋体" w:hAnsi="宋体" w:eastAsia="宋体" w:cs="宋体"/>
          <w:sz w:val="21"/>
          <w:szCs w:val="21"/>
        </w:rPr>
        <w:t>3.1总体设计概述</w:t>
      </w:r>
    </w:p>
    <w:p>
      <w:pPr>
        <w:pageBreakBefore w:val="0"/>
        <w:kinsoku/>
        <w:wordWrap/>
        <w:overflowPunct/>
        <w:topLinePunct w:val="0"/>
        <w:autoSpaceDE/>
        <w:autoSpaceDN/>
        <w:bidi w:val="0"/>
        <w:adjustRightInd/>
        <w:snapToGrid/>
        <w:spacing w:before="31" w:after="31"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唐山糖业数据分析平台项目实施按照 “总体设计、分步实施、按版本发布”的策略来进行，总体设计是在公司整体层面集中组织进行需求调研和设计，采用自下而上的方法，保证方案的全局性、前瞻性和价值驱动，形成总体设计方案。</w:t>
      </w:r>
    </w:p>
    <w:p>
      <w:pPr>
        <w:pageBreakBefore w:val="0"/>
        <w:kinsoku/>
        <w:wordWrap/>
        <w:overflowPunct/>
        <w:topLinePunct w:val="0"/>
        <w:autoSpaceDE/>
        <w:autoSpaceDN/>
        <w:bidi w:val="0"/>
        <w:adjustRightInd/>
        <w:snapToGrid/>
        <w:spacing w:before="31" w:after="31"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总体设计需要形成唐山业数据分析平台项目的整体业务架构，提出本项目应该覆盖的分析主线，目前包括：糖、动力、品控、采购、生产、仓储、运营、财务、人力资源等分析主线</w:t>
      </w:r>
    </w:p>
    <w:p>
      <w:pPr>
        <w:pageBreakBefore w:val="0"/>
        <w:kinsoku/>
        <w:wordWrap/>
        <w:overflowPunct/>
        <w:topLinePunct w:val="0"/>
        <w:autoSpaceDE/>
        <w:autoSpaceDN/>
        <w:bidi w:val="0"/>
        <w:adjustRightInd/>
        <w:snapToGrid/>
        <w:spacing w:before="31" w:after="31"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以上业务分析主线将搭建形成支撑集团公司战略计划、执行控制及评估考核的闭环管理的基础环境，这些分析主线将贯穿公司各大业务领域，实现集中管控力量的增强，推动发挥整体优势。</w:t>
      </w:r>
    </w:p>
    <w:p>
      <w:pPr>
        <w:pageBreakBefore w:val="0"/>
        <w:kinsoku/>
        <w:wordWrap/>
        <w:overflowPunct/>
        <w:topLinePunct w:val="0"/>
        <w:autoSpaceDE/>
        <w:autoSpaceDN/>
        <w:bidi w:val="0"/>
        <w:adjustRightInd/>
        <w:snapToGrid/>
        <w:spacing w:before="31" w:after="31"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技术架构设计充分考虑系统稳定可靠、性能良好、易于维护、伸缩性强等技术原则，以便满足业务上多样需求的变化。SAP ERP及其BW数据仓库，蓝科合并报表系统，中粮糖业股份公司统建BI系统及唐山糖业自建系统平台各有侧重，与本项目的分析平台共同协同，以实现唐山糖业的应用系统集成及分析决策项目目标。</w:t>
      </w:r>
    </w:p>
    <w:p>
      <w:pPr>
        <w:pStyle w:val="5"/>
        <w:pageBreakBefore w:val="0"/>
        <w:tabs>
          <w:tab w:val="left" w:pos="1021"/>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3.2分析平台设计</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分析平台是唐山糖业重要的管理支撑平台之一，将构建统一的数据整合平台、统一的绩效分析平台、统一的KPI体系，实现以计划为驱动闭环管理，实现不同来源数据的集成、标准化、规范化和有效共享，发挥历史数据价值，提高数据分析的能力，实现企业数据向信息、知识的转化，满足唐山糖业管理层的决策支持需求，为唐山糖业的分析决策和运营决策提供及时有效的信息，支撑唐山糖业绩效的闭环管理。</w:t>
      </w:r>
    </w:p>
    <w:p>
      <w:pPr>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分析平台按照功能分为四大部分，ETL、多维数据库、前端分析展示及预测，它们在分析平台中起到了不同的作用。</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（1）分析平台总体部署架构，如图4所示：</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2495550"/>
            <wp:effectExtent l="0" t="0" r="0" b="0"/>
            <wp:docPr id="1744727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27968" name="图片 1"/>
                    <pic:cNvPicPr>
                      <a:picLocks noChangeAspect="1"/>
                    </pic:cNvPicPr>
                  </pic:nvPicPr>
                  <pic:blipFill>
                    <a:blip r:embed="rId15"/>
                    <a:stretch>
                      <a:fillRect/>
                    </a:stretch>
                  </pic:blipFill>
                  <pic:spPr>
                    <a:xfrm>
                      <a:off x="0" y="0"/>
                      <a:ext cx="5731510" cy="24955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图4 分析平台总体部署架构图</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2818765"/>
            <wp:effectExtent l="0" t="0" r="0" b="0"/>
            <wp:docPr id="594657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57847" name="图片 1"/>
                    <pic:cNvPicPr>
                      <a:picLocks noChangeAspect="1"/>
                    </pic:cNvPicPr>
                  </pic:nvPicPr>
                  <pic:blipFill>
                    <a:blip r:embed="rId16"/>
                    <a:stretch>
                      <a:fillRect/>
                    </a:stretch>
                  </pic:blipFill>
                  <pic:spPr>
                    <a:xfrm>
                      <a:off x="0" y="0"/>
                      <a:ext cx="5731510" cy="281876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rPr>
      </w:pPr>
      <w:r>
        <w:rPr>
          <w:rFonts w:hint="eastAsia" w:ascii="宋体" w:hAnsi="宋体" w:eastAsia="宋体" w:cs="宋体"/>
          <w:sz w:val="21"/>
          <w:szCs w:val="21"/>
        </w:rPr>
        <w:t>决策支持平台采用集中部署方式，即唐山糖业集中部署一套，满足公司的决策支持需求，提高业务应用的利用效率，实现数据资源价值的深度挖掘，又可以将跨部门和价值链的数据分析需求通过该分析平台予以传递。</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（2）前端逻辑部署架构，如图5所示：</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31510" cy="2543175"/>
            <wp:effectExtent l="0" t="0" r="0" b="0"/>
            <wp:docPr id="1963532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32462" name="图片 1"/>
                    <pic:cNvPicPr>
                      <a:picLocks noChangeAspect="1"/>
                    </pic:cNvPicPr>
                  </pic:nvPicPr>
                  <pic:blipFill>
                    <a:blip r:embed="rId17"/>
                    <a:stretch>
                      <a:fillRect/>
                    </a:stretch>
                  </pic:blipFill>
                  <pic:spPr>
                    <a:xfrm>
                      <a:off x="0" y="0"/>
                      <a:ext cx="5731510" cy="254317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图5 前端部署架构图</w:t>
      </w: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通过前端进行经营分析、预警分析、报表统计、灵活查询等应用，以统一用户访问平台作为访问入口。</w:t>
      </w: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4.项目目标</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4.1 项目整体控制价：40万元</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4.2 整体目标</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(1)建立统一业务规范和数据标准，搭建统一开放的业务集成平台，实现不同系统间的业务联动和数据共享及业务协同。</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(2)搭建数据分析平台，建立数据分析模型，实现统计报表、数据综合分析、关键绩效指标分析等，为公司各级管理层提供有效数据支持。</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(3)统一用户操作平台，实现界面集成，简化用户界面，减少业务人员的工作量，降低维护成本，实现待办提醒及移动端报表分析等功能，提高工作效率。</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(4)建立统一公共数据标准、提高公共数据应用质量，实现系统间公共数据共享，以唐山糖业分析平台项目为切入点，为信息化建设提供公共数据标准支持。</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4.3分析平台建设目标</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总体建设目标：通过前端展示应用、数据仓库及集市、数据抽取清洗转换以及数据挖掘等技术应用实现管理驾驶舱、战略地图、数据的预测分析、主要经营绩效指标分析、预警分析等，给管理层提供集团经营状况信息，辅助管理层进行决策，通过生产管理、财务管理、预算管理、设备资产管理、物资采购管理、人力资源管理等业务应用以及系统集成，实现纵向集团管控，满足集团公司总部、专业分公司和地区公司的多级业务数据分析和监控需求，实现决策支持数据的集中化和规范化，辅助实现对唐山糖业管理能力的提升, 建立一个集成、共享的决策支持平台。</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前端展示建设目标：通过报表分析、灵活查询分析、指标分析以及图表分析等多形式的数据发布、展现，构建统一的决策支持平台对外发布与展示窗口，前端展示可以实时反馈企业的生产、经营状况，为管理层决策提供信息支持。</w:t>
      </w: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5.需求描述</w:t>
      </w:r>
    </w:p>
    <w:p>
      <w:pPr>
        <w:pageBreakBefore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sz w:val="21"/>
          <w:szCs w:val="21"/>
        </w:rPr>
      </w:pPr>
      <w:r>
        <w:rPr>
          <w:rFonts w:hint="eastAsia" w:ascii="宋体" w:hAnsi="宋体" w:eastAsia="宋体" w:cs="宋体"/>
          <w:sz w:val="21"/>
          <w:szCs w:val="21"/>
        </w:rPr>
        <w:t>报表需求如下：（包括但不限于，根据实际调整）</w:t>
      </w:r>
    </w:p>
    <w:tbl>
      <w:tblPr>
        <w:tblStyle w:val="24"/>
        <w:tblW w:w="7796" w:type="dxa"/>
        <w:tblInd w:w="279" w:type="dxa"/>
        <w:tblLayout w:type="autofit"/>
        <w:tblCellMar>
          <w:top w:w="0" w:type="dxa"/>
          <w:left w:w="108" w:type="dxa"/>
          <w:bottom w:w="0" w:type="dxa"/>
          <w:right w:w="108" w:type="dxa"/>
        </w:tblCellMar>
      </w:tblPr>
      <w:tblGrid>
        <w:gridCol w:w="1734"/>
        <w:gridCol w:w="2375"/>
        <w:gridCol w:w="2411"/>
        <w:gridCol w:w="1276"/>
      </w:tblGrid>
      <w:tr>
        <w:tblPrEx>
          <w:tblCellMar>
            <w:top w:w="0" w:type="dxa"/>
            <w:left w:w="108" w:type="dxa"/>
            <w:bottom w:w="0" w:type="dxa"/>
            <w:right w:w="108" w:type="dxa"/>
          </w:tblCellMar>
        </w:tblPrEx>
        <w:trPr>
          <w:trHeight w:val="480" w:hRule="atLeast"/>
        </w:trPr>
        <w:tc>
          <w:tcPr>
            <w:tcW w:w="1734"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需求部门</w:t>
            </w:r>
          </w:p>
        </w:tc>
        <w:tc>
          <w:tcPr>
            <w:tcW w:w="2375" w:type="dxa"/>
            <w:tcBorders>
              <w:top w:val="single" w:color="auto" w:sz="4" w:space="0"/>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报表名称</w:t>
            </w:r>
          </w:p>
        </w:tc>
        <w:tc>
          <w:tcPr>
            <w:tcW w:w="2411" w:type="dxa"/>
            <w:tcBorders>
              <w:top w:val="single" w:color="auto" w:sz="4" w:space="0"/>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报表说明</w:t>
            </w:r>
          </w:p>
        </w:tc>
        <w:tc>
          <w:tcPr>
            <w:tcW w:w="1276" w:type="dxa"/>
            <w:tcBorders>
              <w:top w:val="single" w:color="auto" w:sz="4" w:space="0"/>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来源系统</w:t>
            </w:r>
          </w:p>
        </w:tc>
      </w:tr>
      <w:tr>
        <w:tblPrEx>
          <w:tblCellMar>
            <w:top w:w="0" w:type="dxa"/>
            <w:left w:w="108" w:type="dxa"/>
            <w:bottom w:w="0" w:type="dxa"/>
            <w:right w:w="108" w:type="dxa"/>
          </w:tblCellMar>
        </w:tblPrEx>
        <w:trPr>
          <w:trHeight w:val="1032" w:hRule="atLeast"/>
        </w:trPr>
        <w:tc>
          <w:tcPr>
            <w:tcW w:w="1734"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adjustRightInd/>
              <w:snapToGrid/>
              <w:spacing w:line="36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动力车间</w:t>
            </w: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动力车间生产日报</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蒸发量，耗煤量，市电，发电，供水，供电，供汽，辅助材料耗用</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ABB系统，高压监控系统，数据下载</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物流管理部</w:t>
            </w: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物流管理部自产糖生产日报表</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成品糖入库，移库，出库，库存</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物流管理部自产糖生产日报表（外租库）</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成品糖外租库入库，出库，库存</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物流管理部出库流向报表</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成品糖流向终端客户，外租库，交割</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物流管理部原糖生产日报表</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原糖入库、出库、移库，回溶，库存量</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无人地磅，外租库数据</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物流管理部现货分库分产季库存</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成品糖按库区，等级，产季，吨袋小袋统计现货吨数</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外部客户货权明细</w:t>
            </w:r>
          </w:p>
        </w:tc>
        <w:tc>
          <w:tcPr>
            <w:tcW w:w="2411"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外部客户订单余量</w:t>
            </w:r>
          </w:p>
        </w:tc>
        <w:tc>
          <w:tcPr>
            <w:tcW w:w="127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中粮糖业货权明细</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中粮糖业每日可下单量，即货权库存</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期货交割货权明细</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成品糖期货交割货权</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外部客户货权明细（非食用糖）</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外部客户订单余量（非食用糖）</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中粮糖业货权明细（非食用糖）</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中粮糖业每日可下单量，即货权库存（非食用糖）</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期货交割货权明细（非食用糖）</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成品糖期货交割货权（非食用糖）</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合同执行开票统计分析表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合同开票情况</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SAP系统</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原料运输汇总表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用于核实“物流管理部原糖生产日报表”的‘糖业库存量’是否准确</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无人地磅，外租库数据</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国储原糖回运报表（国储原糖、临储糖）</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国储原糖库点发运计划，到货情况，以及临储糖</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国储原糖、临储糖回运台账</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炼糖车间</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炼糖车间日报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原糖回溶量，生产作业时间，成品糖产量，辅助材料耗用，化验数据</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DCS系统，ABB系统，运营管理平台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炼糖车间班组考核得分情况表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按产糖量、设备故障时间、不合格糖率、B级品率、其它考核分计算班组考核得分</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产量完成情况（旬、月、年）</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本年目标及实际产量完成情况，产量情况综述，PPT汇报</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旬设备运行情况</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停溶时间，炼糖设备因素，PPT汇报</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单耗情况</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吨糖耗水电汽目标与实际值对比，PPT汇报</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糖份损失</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合格糖量，糖份损失等指标，PPT汇报</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周分析</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产量、单耗、大宗物资、副产品情况</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248"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饱充4#PH与一期二期浓糖浆钙盐关系</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化验室数据分析，从一张化验数据底表产出多种数据分析，本表为一个代表性数据分析，其它数据分析仿照进行</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品控部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白砂糖罐次检验（一期、二期）</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按罐次批次记录白砂糖检验数据</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白砂糖批次检测（一期、二期）</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按批次记录白砂糖检验数据</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吨糖检验</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按批次记录吨糖检验数据</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白砂糖分析（一期、二期）</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白砂糖主要指标分析报表</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白砂糖罐次检验</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生产化验日报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炼糖生产过程化验数据记录</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生产化验分析（周、旬、月）</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炼糖生产化验分析</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生产化验日报</w:t>
            </w:r>
          </w:p>
        </w:tc>
      </w:tr>
      <w:tr>
        <w:tblPrEx>
          <w:tblCellMar>
            <w:top w:w="0" w:type="dxa"/>
            <w:left w:w="108" w:type="dxa"/>
            <w:bottom w:w="0" w:type="dxa"/>
            <w:right w:w="108" w:type="dxa"/>
          </w:tblCellMar>
        </w:tblPrEx>
        <w:trPr>
          <w:trHeight w:val="1032" w:hRule="atLeast"/>
        </w:trPr>
        <w:tc>
          <w:tcPr>
            <w:tcW w:w="1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仓储部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仓储劳务费测算</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预测未来期间仓储劳务费情况</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采购部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采购生产日报表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主原辅材料按日、月、年进库统计</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SAP系统</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生产技术部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设备台账</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设备使用备用台账</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设备详细信息</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设备制造商，技术参数</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设备消耗件及维保件明细</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设备消耗件维保件用途及维护保养说明</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设备解体、检修、验收记录</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设备解体缺陷，检修内容，更换配件清单，验收评定记录</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设备维护情况分析表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统计分析设备维护情况</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设备消耗件统计表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统计分析设备消耗件维保件消耗情况</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手工维护</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管理分析报表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综合日报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综述性报表。炼糖，动力车间，化验生产日报，产品、原辅材料库存</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炼糖车间日报</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上报运营管理部生产日报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综述性报表。原糖，回溶原糖量，生产日报，库存日报</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原糖生产日报，炼糖车间日报</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产糖率报表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历年产糖率数据分析</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全年盈利预测表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预测管理口径利润总额</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历年经营业绩情况表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公司成立以来历年经营业绩</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财务系统，各业务系统</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财务预算（唐山糖业、唐山物流、曹妃甸合并）</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各部门-资本支出</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提报资本支出预算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各部门-制造费用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分部门提报制造费用预算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各部门-动力成本单耗</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提报动力成本单耗预算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各部门-炼糖单耗</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提报炼糖单耗预算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各部门-营业费用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提报营业费用预算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各部门-可控管理费用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分部门提报可控管理费用预算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各部门-人工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分部门提报人工预算</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往年实际数，手工维护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预算吨糖利润</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计算吨糖利润预算数</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01-利润表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02-利润总额</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03-1-主营收入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04-出厂价表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05-1-主营成本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06-1-毛利表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15-制造费用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16-原料管理费</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17-生产计划表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03-2-主营收入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05-2-主营成本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06-2-毛利表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03-3-主营收入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05-3-主营成本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06-3-毛利表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03-4-主营收入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05-4-主营成本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06-4-毛利表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03-5-主营收入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04-5-出厂价表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05-5-主营成本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06-5-毛利表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07-其他业务</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08-销售费用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09-管理费用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10-财务费用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11-资产减值</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12-投资收益</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13-营业外收支</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14-税金表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18-人工成本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19-固定成本</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20-内部购销</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21-库存商品</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30-资产表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31-负债表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40-现金流量(直接法)</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41-现金流量(间接法)</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42-资本性支出</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50-主要指标</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现金预算表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管理报表</w:t>
            </w: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LR-唐山糖业</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调整事项</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TQ-录入</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TQ-唐山糖业</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表间取数，手工维护</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01利润表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02主营收入表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03主营成本表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04毛利表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05出厂价表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06其他业务表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07营业税金及附加表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08销售费用表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09管理费用表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10财务费用表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11资产减值损失表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12营业外收支表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13制造费用表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14原料管理费表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15固定费用表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16人工成本表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17资产表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18负债表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19现金流量表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20成本表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21主要指标表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22库存明细表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主要指标表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r>
        <w:tblPrEx>
          <w:tblCellMar>
            <w:top w:w="0" w:type="dxa"/>
            <w:left w:w="108" w:type="dxa"/>
            <w:bottom w:w="0" w:type="dxa"/>
            <w:right w:w="108" w:type="dxa"/>
          </w:tblCellMar>
        </w:tblPrEx>
        <w:trPr>
          <w:trHeight w:val="1032" w:hRule="atLeast"/>
        </w:trPr>
        <w:tc>
          <w:tcPr>
            <w:tcW w:w="173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1"/>
                <w:szCs w:val="21"/>
              </w:rPr>
            </w:pPr>
          </w:p>
        </w:tc>
        <w:tc>
          <w:tcPr>
            <w:tcW w:w="237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开工情况表</w:t>
            </w:r>
          </w:p>
        </w:tc>
        <w:tc>
          <w:tcPr>
            <w:tcW w:w="2411"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表间取数</w:t>
            </w:r>
          </w:p>
        </w:tc>
      </w:tr>
    </w:tbl>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宋体" w:hAnsi="宋体" w:eastAsia="宋体" w:cs="宋体"/>
          <w:b w:val="0"/>
          <w:bCs/>
          <w:sz w:val="21"/>
          <w:szCs w:val="21"/>
          <w:lang w:val="en-US" w:eastAsia="zh-CN"/>
        </w:rPr>
      </w:pP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p>
    <w:p>
      <w:pPr>
        <w:keepNext w:val="0"/>
        <w:keepLines w:val="0"/>
        <w:pageBreakBefore w:val="0"/>
        <w:widowControl/>
        <w:numPr>
          <w:ilvl w:val="0"/>
          <w:numId w:val="5"/>
        </w:numPr>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培训要求</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供应商应根据本公司要求，定制培训方案，培训对象包括关键用户和内部顾问，培训内容应包括业务操作培训、开发内容培训。供应商应提供保障培训效果的相关措施。</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eastAsia" w:asciiTheme="minorEastAsia" w:hAnsiTheme="minorEastAsia"/>
          <w:b w:val="0"/>
          <w:bCs/>
          <w:szCs w:val="21"/>
          <w:lang w:val="en-US" w:eastAsia="zh-CN"/>
        </w:rPr>
        <w:t>7.</w:t>
      </w:r>
      <w:r>
        <w:rPr>
          <w:rFonts w:hint="default" w:asciiTheme="minorEastAsia" w:hAnsiTheme="minorEastAsia"/>
          <w:b w:val="0"/>
          <w:bCs/>
          <w:szCs w:val="21"/>
          <w:lang w:val="en-US" w:eastAsia="zh-CN"/>
        </w:rPr>
        <w:t xml:space="preserve"> 需求调研及开发测试要求</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需求分析阶段完成后，应提交需求说明书，并提交二次开发内容的详细页面设计。软件测试工作完成后，应提交测试报告，重点对业务和系统性能进行测试</w:t>
      </w:r>
      <w:r>
        <w:rPr>
          <w:rFonts w:hint="eastAsia" w:asciiTheme="minorEastAsia" w:hAnsiTheme="minorEastAsia"/>
          <w:b w:val="0"/>
          <w:bCs/>
          <w:szCs w:val="21"/>
          <w:lang w:val="en-US" w:eastAsia="zh-CN"/>
        </w:rPr>
        <w:t>。</w:t>
      </w:r>
    </w:p>
    <w:p>
      <w:pPr>
        <w:keepNext w:val="0"/>
        <w:keepLines w:val="0"/>
        <w:pageBreakBefore w:val="0"/>
        <w:widowControl/>
        <w:numPr>
          <w:ilvl w:val="0"/>
          <w:numId w:val="6"/>
        </w:numPr>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验收要求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 xml:space="preserve">   系统上线试运行，试运行90天以上方具备验收条件，验收标准是验证系统运行期间能否实现合同书和技术方案里的全部功能和性能要求；验收通过后，开发单位应及时进行交付。</w:t>
      </w:r>
    </w:p>
    <w:p>
      <w:pPr>
        <w:keepNext w:val="0"/>
        <w:keepLines w:val="0"/>
        <w:pageBreakBefore w:val="0"/>
        <w:widowControl/>
        <w:numPr>
          <w:ilvl w:val="0"/>
          <w:numId w:val="6"/>
        </w:numPr>
        <w:kinsoku/>
        <w:wordWrap/>
        <w:overflowPunct/>
        <w:topLinePunct w:val="0"/>
        <w:autoSpaceDE/>
        <w:autoSpaceDN/>
        <w:bidi w:val="0"/>
        <w:adjustRightInd/>
        <w:snapToGrid/>
        <w:spacing w:line="480" w:lineRule="auto"/>
        <w:ind w:left="0" w:leftChars="0" w:firstLine="0" w:firstLineChars="0"/>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售后服务要求</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提供7×24小时电话、电子邮件、远程操作方式服务；1小时内做出明确响应和安排；对无法电话响应问题可通过远程操作方式解决，对仍无法解决需现场处理的需在8小时内给现场解决。对系统重大问题及故障在报修后10小时内排除、解决。</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技术服务形式为：电话、电子邮件、QQ、远程支持、现场服务等；</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heme="minorEastAsia" w:hAnsiTheme="minorEastAsia"/>
          <w:b w:val="0"/>
          <w:bCs/>
          <w:szCs w:val="21"/>
          <w:lang w:val="en-US" w:eastAsia="zh-CN"/>
        </w:rPr>
      </w:pPr>
      <w:r>
        <w:rPr>
          <w:rFonts w:hint="default" w:asciiTheme="minorEastAsia" w:hAnsiTheme="minorEastAsia"/>
          <w:b w:val="0"/>
          <w:bCs/>
          <w:szCs w:val="21"/>
          <w:lang w:val="en-US" w:eastAsia="zh-CN"/>
        </w:rPr>
        <w:t>质保期为期一年。</w:t>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widowControl/>
        <w:jc w:val="center"/>
        <w:rPr>
          <w:rFonts w:ascii="黑体" w:eastAsia="黑体"/>
          <w:b/>
          <w:sz w:val="36"/>
          <w:szCs w:val="36"/>
        </w:rPr>
      </w:pPr>
      <w:r>
        <w:rPr>
          <w:rFonts w:hint="eastAsia" w:ascii="黑体" w:eastAsia="黑体"/>
          <w:b/>
          <w:sz w:val="36"/>
          <w:szCs w:val="36"/>
        </w:rPr>
        <w:t>第</w:t>
      </w:r>
      <w:r>
        <w:rPr>
          <w:rFonts w:hint="eastAsia" w:ascii="黑体" w:eastAsia="黑体"/>
          <w:b/>
          <w:sz w:val="36"/>
          <w:szCs w:val="36"/>
          <w:lang w:val="en-US" w:eastAsia="zh-CN"/>
        </w:rPr>
        <w:t>三</w:t>
      </w:r>
      <w:r>
        <w:rPr>
          <w:rFonts w:hint="eastAsia" w:ascii="黑体" w:eastAsia="黑体"/>
          <w:b/>
          <w:sz w:val="36"/>
          <w:szCs w:val="36"/>
        </w:rPr>
        <w:t>章 合同条款</w:t>
      </w:r>
      <w:bookmarkEnd w:id="1"/>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rPr>
          <w:rFonts w:hint="eastAsia" w:asciiTheme="minorEastAsia" w:hAnsiTheme="minorEastAsia"/>
          <w:szCs w:val="21"/>
        </w:rPr>
      </w:pPr>
    </w:p>
    <w:p>
      <w:pPr>
        <w:spacing w:line="360" w:lineRule="auto"/>
        <w:jc w:val="center"/>
        <w:rPr>
          <w:rFonts w:hint="eastAsia" w:ascii="黑体" w:eastAsia="黑体" w:cs="黑体"/>
          <w:b/>
          <w:sz w:val="32"/>
          <w:szCs w:val="32"/>
          <w:highlight w:val="none"/>
        </w:rPr>
      </w:pPr>
      <w:r>
        <w:rPr>
          <w:rFonts w:hint="eastAsia" w:ascii="黑体" w:eastAsia="黑体" w:cs="黑体"/>
          <w:b/>
          <w:sz w:val="32"/>
          <w:szCs w:val="32"/>
          <w:highlight w:val="none"/>
        </w:rPr>
        <w:t>数据采集项目运维合作协议书模版</w:t>
      </w:r>
    </w:p>
    <w:p>
      <w:pPr>
        <w:spacing w:line="360" w:lineRule="auto"/>
        <w:rPr>
          <w:rFonts w:hint="eastAsia"/>
          <w:b/>
          <w:bCs/>
          <w:sz w:val="24"/>
          <w:szCs w:val="24"/>
          <w:highlight w:val="none"/>
        </w:rPr>
      </w:pP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甲方：中粮（唐山）糖业有限公司</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乙方：-------------------------</w:t>
      </w:r>
    </w:p>
    <w:p>
      <w:pPr>
        <w:spacing w:line="360" w:lineRule="auto"/>
        <w:rPr>
          <w:rFonts w:hint="eastAsia" w:ascii="宋体" w:hAnsi="宋体" w:eastAsia="宋体" w:cs="宋体"/>
          <w:b/>
          <w:bCs/>
          <w:sz w:val="21"/>
          <w:szCs w:val="21"/>
          <w:highlight w:val="none"/>
        </w:rPr>
      </w:pPr>
    </w:p>
    <w:p>
      <w:pPr>
        <w:pStyle w:val="9"/>
        <w:spacing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中粮（唐山）糖业有限公司（下称甲方）委托-----------（下称乙方）开展《中粮（唐山）糖业有限公司数据采集平台》运维工作，配合甲方进行日常系统的实施与运行维护，以满足甲方实际工作需求。</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根据中粮（唐山）糖业有限公司的实际业务需求，按照《中华人民共和国民法典》的规定，结合本项目建设具体情况，经双方友好协商，现达成如下协议：</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项目内容</w:t>
      </w:r>
    </w:p>
    <w:p>
      <w:pPr>
        <w:pStyle w:val="9"/>
        <w:spacing w:line="360" w:lineRule="auto"/>
        <w:ind w:left="0"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乙方根据甲方需求为甲方对《中粮（唐山）糖业有限公司数据采集平台》做好日常的功能实施以及运行维护工作。</w:t>
      </w:r>
    </w:p>
    <w:p>
      <w:pPr>
        <w:pStyle w:val="9"/>
        <w:spacing w:line="360" w:lineRule="auto"/>
        <w:ind w:left="0"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运维工作主要为《中粮（唐山）糖业有限公司数据采集平台》中模型、表格、报表、数据流的维护，以保证系统的正常稳定运行，满足日常业务需求，不涉及数据采集平台本身的开发（如：升级系统版本、FONE系统BUG处理、新增账号的提供）。</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甲方责任及义务</w:t>
      </w:r>
    </w:p>
    <w:p>
      <w:pPr>
        <w:numPr>
          <w:ilvl w:val="0"/>
          <w:numId w:val="8"/>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项目以远程运维方式为主，甲方应组织技术及业务人员，配合乙方完成数据采集平台中模型、报表、数据流的搭建、测试和部署工作；</w:t>
      </w:r>
    </w:p>
    <w:p>
      <w:pPr>
        <w:numPr>
          <w:ilvl w:val="0"/>
          <w:numId w:val="8"/>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若确需乙方人员到现场运维时，甲方需确认一个常驻地点_____作为办公地点，如需要去非常驻地点办公，甲方需为乙方人员提供住宿，甲方不负责乙方人员来往的（车费、火车票、机票）等费用，相关费用涵盖在乙方的运维费用内。</w:t>
      </w:r>
    </w:p>
    <w:p>
      <w:pPr>
        <w:numPr>
          <w:ilvl w:val="0"/>
          <w:numId w:val="8"/>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需要协调第三方时，甲方有义务向乙方提供相关信息和必要的协助。</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乙方责任及义务</w:t>
      </w:r>
    </w:p>
    <w:p>
      <w:pPr>
        <w:numPr>
          <w:ilvl w:val="0"/>
          <w:numId w:val="9"/>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合同期间，乙方向甲方提供工作日8：00 - 17：00 响应服务。</w:t>
      </w:r>
    </w:p>
    <w:p>
      <w:pPr>
        <w:numPr>
          <w:ilvl w:val="0"/>
          <w:numId w:val="9"/>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按照本协议约定的运维内容，完成数据采集平台的数据模型、报表、表格、数据流等系统功能的运维工作，保障各业务系统正常、高效运转。</w:t>
      </w:r>
    </w:p>
    <w:p>
      <w:pPr>
        <w:numPr>
          <w:ilvl w:val="0"/>
          <w:numId w:val="9"/>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完成数据采集平台的日常运维工作，包括对甲方业务人员提供技术支持，协助甲方业务人员发现并处理使用系统时产生的问题等。</w:t>
      </w:r>
    </w:p>
    <w:p>
      <w:pPr>
        <w:numPr>
          <w:ilvl w:val="0"/>
          <w:numId w:val="9"/>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乙方运维工作以远程运维方式为主，向甲方提供工作日8：00 - 17：00 时间内的电话或远程技术支持；对于确需到现场进行运维工作的，乙方承诺48小时内派工程师到达现场；对软件系统部分功能不能正常使用或数据错误，但主要业务系统仍可正常工作的故障，乙方承诺24小时内解决；对系统停止运行或系统运行性能下降无法保证甲方使用的重大故障，乙方承诺48小时内解决；发生重大宕机事件或业务系统发生重大故障需重新部署系统的，乙方承诺72小时内解决。</w:t>
      </w:r>
    </w:p>
    <w:p>
      <w:pPr>
        <w:numPr>
          <w:ilvl w:val="0"/>
          <w:numId w:val="9"/>
        </w:numPr>
        <w:spacing w:line="360" w:lineRule="auto"/>
        <w:ind w:left="4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由于支撑软件系统运行的服务器和操作系统等软硬件不由乙方负责采购与维护，因此由于硬件故障或损坏以及操作系统故障、崩溃等导致的系统无法正常访问或运行的情况，乙方配合甲方完成系统的恢复工作，但不承担因以上故障所带来的相关责任。</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合同形式 _固定总价合同_</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项目维护日期</w:t>
      </w:r>
    </w:p>
    <w:p>
      <w:pPr>
        <w:numPr>
          <w:ilvl w:val="0"/>
          <w:numId w:val="10"/>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维护日期：2024年x月x日至2024年x月x日；</w:t>
      </w:r>
    </w:p>
    <w:p>
      <w:pPr>
        <w:numPr>
          <w:ilvl w:val="0"/>
          <w:numId w:val="10"/>
        </w:num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甲方可根据系统实际使用情况提前终止系统运维。如需终止，甲方应及时书面通知乙方，并按照实际运维时间支付等比例的运维费用给乙方。</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双方违约责任</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合同期间，乙方向甲方提供工作日8：00 - 17：00 响应服务，如乙方未履行相关服务，甲方可根据实际情况扣除乙方当日的运维费用。</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合同期间，甲方如要求乙方到甲方现场办公，如办公地点在合同中约定的常驻办公地点，乙方需自行承担食宿、交通费等日常办公费用。如甲方要求乙方去非常驻地点办公，则甲方为乙方提供住宿，其他费用仍有乙方自行承担；如甲方要求乙方去非常驻地点办公，未提供住宿条件，乙方有权要求进行远程运维。</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由于支撑软件系统运行的服务器和操作系统等软硬件不由乙方负责采购与维护，因此由于硬件故障或损坏以及操作系统故障、崩溃等导致的系统无法正常访问或运行的情况，乙方配合甲方完成系统的恢复工作，但不承担因以上故障所带来的相关责任。</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对于确需到现场进行运维工作的，乙方承诺48小时内派工程师到达现场,如乙方未履行相关服务，甲方可根据实际情况扣除乙方相关的运维费用。</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如因乙方对系统调整，导致数据出现异常，造成系统无法正常使用，乙方需在24小时内解决，对系统停止运行或系统运行性能下降无法保证甲方使用的重大故障，乙方承诺48小时内解决；非人为问题发生重大宕机事件或业务系统发生重大故障需重新部署系统的，乙方承诺72小时内解决。如乙方未按约定履行相关义务，甲方有权单方解除运维合同。</w:t>
      </w:r>
    </w:p>
    <w:p>
      <w:pPr>
        <w:numPr>
          <w:ilvl w:val="0"/>
          <w:numId w:val="11"/>
        </w:numPr>
        <w:tabs>
          <w:tab w:val="left" w:pos="312"/>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如有未尽事宜，双方需友好协商解决，如双方无法达成一致时，应向原告所在地人民法院提起诉讼，律师费、诉讼费、交通费等相关费用由违约一方承担。</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项目费用及付款方式</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运维费用：（￥ xxx 元）。</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每年6月31日和12月31日分两期支付当年的运维费用，6月31日前支付上半年运维费用，12月31日前支付下半年运维费用，如合同期间甲方终止运维，则次月支付当年运维费用；</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甲方收到乙方开具对应金额的增值税专用发票后，甲方30个工作日内向乙方付款。 </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乙方账户信息：</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乙方单位：-------------------------</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乙方地址：</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 （接受行行号）：</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 （接受行名称）：</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 （收款人账号）：</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乙方 （收款人名称）：</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联系电话： </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软件版权及保密义务</w:t>
      </w:r>
    </w:p>
    <w:p>
      <w:pPr>
        <w:numPr>
          <w:ilvl w:val="0"/>
          <w:numId w:val="12"/>
        </w:num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软件版权</w:t>
      </w:r>
    </w:p>
    <w:p>
      <w:pPr>
        <w:numPr>
          <w:ilvl w:val="0"/>
          <w:numId w:val="13"/>
        </w:num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甲、乙双方共同拥有在甲方运维期间所修改的软件版权；</w:t>
      </w:r>
    </w:p>
    <w:p>
      <w:pPr>
        <w:numPr>
          <w:ilvl w:val="0"/>
          <w:numId w:val="13"/>
        </w:num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甲、乙双方必须互相尊重本项目中所有产品的知识产权，乙方所提供的资料、文档和软件产品仅限于在甲方系统内扩散和使用；</w:t>
      </w:r>
    </w:p>
    <w:p>
      <w:pPr>
        <w:numPr>
          <w:ilvl w:val="0"/>
          <w:numId w:val="13"/>
        </w:num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如甲、乙双方未遵循本协议之规定而触及到版权问题，均可诉之法律；</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（4）在不涉密的前提下，甲乙双方均有以该项目作背景材料在公开刊物上发表学术文章的权利。</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2．保密义务</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（1）甲方的保密义务</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对于乙方向甲方提供的各类技术文档、资料与软件，甲方不得向任何第三方提供，甲方也不能将该文档、资料与软件用于其它用途；</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（2）乙方的保密义务</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对于乙方在技术服务过程中所涉及到甲方的各类数据、各类接口资料、网络规划及地址分配、各类密码、其它保密资料等，乙方不得向任何第三方提供，乙方也不能将上述数据与资料用于其它用途。</w:t>
      </w:r>
    </w:p>
    <w:p>
      <w:pPr>
        <w:numPr>
          <w:ilvl w:val="0"/>
          <w:numId w:val="7"/>
        </w:numPr>
        <w:spacing w:before="240" w:beforeLines="100" w:after="240" w:afterLines="100" w:line="360" w:lineRule="auto"/>
        <w:ind w:left="1077" w:hanging="1077"/>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其他事项</w:t>
      </w:r>
    </w:p>
    <w:p>
      <w:pPr>
        <w:pStyle w:val="12"/>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如本协议在执行过程中因不可抗拒的重大因素影响本协议执行及未尽事宜，双方经协商可另拟补充协议对本协议进行补充或修改，补充协议经双方签字盖章后与本协议具有同等法律效力。</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双方因履行本协议而发生的争议，应协商、调解解决。协商、调解不成的，提交甲方所在地的仲裁委员会仲裁处理。</w:t>
      </w:r>
    </w:p>
    <w:p>
      <w:pPr>
        <w:spacing w:line="360" w:lineRule="auto"/>
        <w:ind w:firstLine="567"/>
        <w:rPr>
          <w:rFonts w:hint="eastAsia" w:ascii="宋体" w:hAnsi="宋体" w:eastAsia="宋体" w:cs="宋体"/>
          <w:sz w:val="21"/>
          <w:szCs w:val="21"/>
          <w:highlight w:val="none"/>
        </w:rPr>
      </w:pPr>
      <w:r>
        <w:rPr>
          <w:rFonts w:hint="eastAsia" w:ascii="宋体" w:hAnsi="宋体" w:eastAsia="宋体" w:cs="宋体"/>
          <w:sz w:val="21"/>
          <w:szCs w:val="21"/>
          <w:highlight w:val="none"/>
        </w:rPr>
        <w:t>本协议一式陆份，甲乙双方各执叁份。本协议自甲乙双方签字盖章之日起生效。</w:t>
      </w: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甲方：中粮（唐山）糖业有限公司</w:t>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乙方：-------------------------</w:t>
      </w:r>
    </w:p>
    <w:p>
      <w:pPr>
        <w:spacing w:line="360" w:lineRule="auto"/>
        <w:rPr>
          <w:rFonts w:hint="eastAsia" w:ascii="宋体" w:hAnsi="宋体" w:eastAsia="宋体" w:cs="宋体"/>
          <w:sz w:val="21"/>
          <w:szCs w:val="21"/>
          <w:highlight w:val="none"/>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法定代表人：</w:t>
      </w:r>
    </w:p>
    <w:p>
      <w:pPr>
        <w:spacing w:line="360" w:lineRule="auto"/>
        <w:rPr>
          <w:rFonts w:hint="eastAsia" w:ascii="宋体" w:hAnsi="宋体" w:eastAsia="宋体" w:cs="宋体"/>
          <w:sz w:val="21"/>
          <w:szCs w:val="21"/>
          <w:highlight w:val="none"/>
        </w:rPr>
      </w:pPr>
    </w:p>
    <w:p>
      <w:pPr>
        <w:spacing w:line="360" w:lineRule="auto"/>
        <w:ind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（委托代理人）                         （委托代理人）</w:t>
      </w:r>
    </w:p>
    <w:p>
      <w:pPr>
        <w:spacing w:line="360" w:lineRule="auto"/>
        <w:rPr>
          <w:rFonts w:hint="eastAsia" w:ascii="宋体" w:hAnsi="宋体" w:eastAsia="宋体" w:cs="宋体"/>
          <w:sz w:val="21"/>
          <w:szCs w:val="21"/>
          <w:highlight w:val="none"/>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ab/>
      </w:r>
      <w:r>
        <w:rPr>
          <w:rFonts w:hint="eastAsia" w:ascii="宋体" w:hAnsi="宋体" w:eastAsia="宋体" w:cs="宋体"/>
          <w:sz w:val="21"/>
          <w:szCs w:val="21"/>
          <w:highlight w:val="none"/>
        </w:rPr>
        <w:t xml:space="preserve">           日期：</w:t>
      </w: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 xml:space="preserve">章 </w:t>
      </w:r>
      <w:r>
        <w:rPr>
          <w:rFonts w:hint="eastAsia" w:ascii="黑体" w:eastAsia="黑体"/>
          <w:b/>
          <w:sz w:val="36"/>
          <w:szCs w:val="36"/>
          <w:lang w:val="en-US" w:eastAsia="zh-CN"/>
        </w:rPr>
        <w:t>评审方法</w:t>
      </w:r>
    </w:p>
    <w:p>
      <w:pPr>
        <w:pStyle w:val="2"/>
        <w:spacing w:line="580" w:lineRule="exact"/>
        <w:jc w:val="both"/>
        <w:rPr>
          <w:rFonts w:ascii="黑体" w:eastAsia="黑体" w:hAnsiTheme="minorHAnsi" w:cstheme="minorBidi"/>
          <w:b w:val="0"/>
          <w:kern w:val="2"/>
          <w:sz w:val="36"/>
          <w:szCs w:val="36"/>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pStyle w:val="2"/>
        <w:numPr>
          <w:ilvl w:val="0"/>
          <w:numId w:val="14"/>
        </w:numPr>
        <w:spacing w:line="580" w:lineRule="exact"/>
        <w:rPr>
          <w:rFonts w:hint="eastAsia" w:ascii="宋体" w:hAnsi="宋体" w:eastAsia="宋体" w:cs="宋体"/>
          <w:bCs w:val="0"/>
          <w:sz w:val="21"/>
          <w:szCs w:val="21"/>
        </w:rPr>
      </w:pPr>
      <w:r>
        <w:rPr>
          <w:rFonts w:hint="eastAsia" w:ascii="宋体" w:hAnsi="宋体" w:eastAsia="宋体" w:cs="宋体"/>
          <w:bCs w:val="0"/>
          <w:sz w:val="21"/>
          <w:szCs w:val="21"/>
        </w:rPr>
        <w:t>总则：</w:t>
      </w:r>
    </w:p>
    <w:p>
      <w:pPr>
        <w:pStyle w:val="2"/>
        <w:numPr>
          <w:ilvl w:val="0"/>
          <w:numId w:val="0"/>
        </w:numPr>
        <w:spacing w:line="580" w:lineRule="exact"/>
        <w:ind w:firstLine="420" w:firstLineChars="200"/>
        <w:rPr>
          <w:rFonts w:hint="eastAsia"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 xml:space="preserve">评审采用“综合评标法”。评审小组依据采购文件中的标准、办法对投标人的响应文件进行评审。 </w:t>
      </w:r>
    </w:p>
    <w:p>
      <w:pPr>
        <w:pStyle w:val="2"/>
        <w:numPr>
          <w:ilvl w:val="0"/>
          <w:numId w:val="0"/>
        </w:numPr>
        <w:spacing w:line="580" w:lineRule="exact"/>
        <w:rPr>
          <w:rFonts w:hint="eastAsia" w:ascii="宋体" w:hAnsi="宋体" w:eastAsia="宋体" w:cs="宋体"/>
          <w:bCs/>
          <w:sz w:val="21"/>
          <w:szCs w:val="21"/>
        </w:rPr>
      </w:pPr>
      <w:r>
        <w:rPr>
          <w:rFonts w:hint="eastAsia" w:ascii="宋体" w:hAnsi="宋体" w:eastAsia="宋体" w:cs="宋体"/>
          <w:bCs/>
          <w:sz w:val="21"/>
          <w:szCs w:val="21"/>
        </w:rPr>
        <w:t>二、评审方式：</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评委构成：由采购人依法组建的谈判小组负责。谈判小组人数为3人以上单数（包含3人）</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评审小组对商务部分和技术部分进行综合评审，评审小组将采用百分制打分的方式，按得分排名；</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评审小组成员打分的分值应在规定范围内，高于或低于该范围为无效打分。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评审依据：评委将以响应文件为评审依据，对供应商的响应报价、商务、技术等方面内容进行综合评审。</w:t>
      </w:r>
    </w:p>
    <w:p>
      <w:pPr>
        <w:spacing w:line="360" w:lineRule="auto"/>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bCs/>
          <w:sz w:val="21"/>
          <w:szCs w:val="21"/>
        </w:rPr>
        <w:t>供应商出现下列情形之一的，其响应将作为否决响应处理</w:t>
      </w:r>
      <w:r>
        <w:rPr>
          <w:rFonts w:hint="eastAsia" w:ascii="宋体" w:hAnsi="宋体" w:eastAsia="宋体" w:cs="宋体"/>
          <w:sz w:val="21"/>
          <w:szCs w:val="21"/>
        </w:rPr>
        <w:t>：</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rPr>
        <w:tab/>
      </w:r>
      <w:r>
        <w:rPr>
          <w:rFonts w:hint="eastAsia" w:ascii="宋体" w:hAnsi="宋体" w:eastAsia="宋体" w:cs="宋体"/>
          <w:bCs/>
          <w:sz w:val="21"/>
          <w:szCs w:val="21"/>
        </w:rPr>
        <w:t>单位负责人为同一人或者存在控股、管理关系的不同单位，参加同一标段（包件）或者未划分标段（包件）的同一采购项目响应；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rPr>
        <w:tab/>
      </w:r>
      <w:r>
        <w:rPr>
          <w:rFonts w:hint="eastAsia" w:ascii="宋体" w:hAnsi="宋体" w:eastAsia="宋体" w:cs="宋体"/>
          <w:bCs/>
          <w:sz w:val="21"/>
          <w:szCs w:val="21"/>
        </w:rPr>
        <w:t>供应商未提交投标保证金或投标保证金金额不足、投标保证金的形式、投标保证金的有效期不符合文件要求；</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rPr>
        <w:tab/>
      </w:r>
      <w:r>
        <w:rPr>
          <w:rFonts w:hint="eastAsia" w:ascii="宋体" w:hAnsi="宋体" w:eastAsia="宋体" w:cs="宋体"/>
          <w:bCs/>
          <w:sz w:val="21"/>
          <w:szCs w:val="21"/>
        </w:rPr>
        <w:t>响应文件中未按谈判文件要求加盖单位公章或法定代表人或法定代表人授权人签字或盖章的（谈判文件规定的签字或盖章之处）；或签字人无法定代表人有效授权书；</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w:t>
      </w:r>
      <w:r>
        <w:rPr>
          <w:rFonts w:hint="eastAsia" w:ascii="宋体" w:hAnsi="宋体" w:eastAsia="宋体" w:cs="宋体"/>
          <w:bCs/>
          <w:sz w:val="21"/>
          <w:szCs w:val="21"/>
        </w:rPr>
        <w:tab/>
      </w:r>
      <w:r>
        <w:rPr>
          <w:rFonts w:hint="eastAsia" w:ascii="宋体" w:hAnsi="宋体" w:eastAsia="宋体" w:cs="宋体"/>
          <w:bCs/>
          <w:sz w:val="21"/>
          <w:szCs w:val="21"/>
        </w:rPr>
        <w:t>未提供资格证明文件、资格证明文件不全、提供虚假材料或不符合国家或者谈判文件规定的资格条件；</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rPr>
        <w:tab/>
      </w:r>
      <w:r>
        <w:rPr>
          <w:rFonts w:hint="eastAsia" w:ascii="宋体" w:hAnsi="宋体" w:eastAsia="宋体" w:cs="宋体"/>
          <w:bCs/>
          <w:sz w:val="21"/>
          <w:szCs w:val="21"/>
        </w:rPr>
        <w:t>同一供应商递交两份或多份内容不同的响应文件，或在一份响应文件中对同一采购项目报有两个或多个报价，且未声明哪一个有效；</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rPr>
        <w:tab/>
      </w:r>
      <w:r>
        <w:rPr>
          <w:rFonts w:hint="eastAsia" w:ascii="宋体" w:hAnsi="宋体" w:eastAsia="宋体" w:cs="宋体"/>
          <w:bCs/>
          <w:sz w:val="21"/>
          <w:szCs w:val="21"/>
        </w:rPr>
        <w:t>响应报价高于谈判文件设定的最高响应限价（单价和总价均不允许超过）；</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bCs/>
          <w:sz w:val="21"/>
          <w:szCs w:val="21"/>
        </w:rPr>
        <w:tab/>
      </w:r>
      <w:r>
        <w:rPr>
          <w:rFonts w:hint="eastAsia" w:ascii="宋体" w:hAnsi="宋体" w:eastAsia="宋体" w:cs="宋体"/>
          <w:bCs/>
          <w:sz w:val="21"/>
          <w:szCs w:val="21"/>
        </w:rPr>
        <w:t>响应文件没有对谈判文件的实质性要求和条件作出响应；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(8)</w:t>
      </w:r>
      <w:r>
        <w:rPr>
          <w:rFonts w:hint="eastAsia" w:ascii="宋体" w:hAnsi="宋体" w:eastAsia="宋体" w:cs="宋体"/>
          <w:bCs/>
          <w:sz w:val="21"/>
          <w:szCs w:val="21"/>
        </w:rPr>
        <w:tab/>
      </w:r>
      <w:r>
        <w:rPr>
          <w:rFonts w:hint="eastAsia" w:ascii="宋体" w:hAnsi="宋体" w:eastAsia="宋体" w:cs="宋体"/>
          <w:bCs/>
          <w:sz w:val="21"/>
          <w:szCs w:val="21"/>
        </w:rPr>
        <w:t>未按规定的格式填写，内容不全或关键字迹模糊、无法辨认；</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(9)</w:t>
      </w:r>
      <w:r>
        <w:rPr>
          <w:rFonts w:hint="eastAsia" w:ascii="宋体" w:hAnsi="宋体" w:eastAsia="宋体" w:cs="宋体"/>
          <w:bCs/>
          <w:sz w:val="21"/>
          <w:szCs w:val="21"/>
        </w:rPr>
        <w:tab/>
      </w:r>
      <w:r>
        <w:rPr>
          <w:rFonts w:hint="eastAsia" w:ascii="宋体" w:hAnsi="宋体" w:eastAsia="宋体" w:cs="宋体"/>
          <w:bCs/>
          <w:sz w:val="21"/>
          <w:szCs w:val="21"/>
        </w:rPr>
        <w:t>供应商有串通响应、弄虚作假、行贿等违法行为</w:t>
      </w:r>
    </w:p>
    <w:p>
      <w:pPr>
        <w:tabs>
          <w:tab w:val="left" w:pos="851"/>
        </w:tabs>
        <w:spacing w:line="360" w:lineRule="auto"/>
        <w:rPr>
          <w:rFonts w:hint="eastAsia" w:ascii="宋体" w:hAnsi="宋体" w:eastAsia="宋体" w:cs="宋体"/>
          <w:b/>
          <w:sz w:val="21"/>
          <w:szCs w:val="21"/>
        </w:rPr>
      </w:pPr>
      <w:r>
        <w:rPr>
          <w:rFonts w:hint="eastAsia" w:ascii="宋体" w:hAnsi="宋体" w:eastAsia="宋体" w:cs="宋体"/>
          <w:b/>
          <w:sz w:val="21"/>
          <w:szCs w:val="21"/>
        </w:rPr>
        <w:t>四、澄清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标小组对于投标文件中含义不明确、同类问题表述不一致或者有明显文字和计算错误的内容，评标小组可以书面要求投标人在规定的时限内作出必要的澄清、说明或者补正，投标人的澄清、说明或者补正应当采用书面形式，由其法定代表人或其授权代表人签字，并不得超出投标文件的范围或者改变投标文件的实质性内容。投标人拒不进行澄清、说明、补正的，或者不能在规定时间内作出书面澄清、说明、补正的，其开标将被作为无效开标处理。</w:t>
      </w:r>
    </w:p>
    <w:p>
      <w:pPr>
        <w:spacing w:line="360" w:lineRule="auto"/>
        <w:rPr>
          <w:rFonts w:hint="eastAsia" w:ascii="宋体" w:hAnsi="宋体" w:eastAsia="宋体" w:cs="宋体"/>
          <w:sz w:val="21"/>
          <w:szCs w:val="21"/>
        </w:rPr>
      </w:pPr>
      <w:r>
        <w:rPr>
          <w:rFonts w:hint="eastAsia" w:ascii="宋体" w:hAnsi="宋体" w:eastAsia="宋体" w:cs="宋体"/>
          <w:bCs/>
          <w:sz w:val="21"/>
          <w:szCs w:val="21"/>
          <w:shd w:val="clear" w:color="auto" w:fill="FFFFFF"/>
        </w:rPr>
        <w:t>五、评审方法：</w:t>
      </w:r>
    </w:p>
    <w:p>
      <w:pPr>
        <w:spacing w:line="520" w:lineRule="exact"/>
        <w:rPr>
          <w:rFonts w:hint="eastAsia" w:ascii="宋体" w:hAnsi="宋体" w:eastAsia="宋体" w:cs="宋体"/>
          <w:bCs/>
          <w:sz w:val="21"/>
          <w:szCs w:val="21"/>
        </w:rPr>
      </w:pPr>
      <w:r>
        <w:rPr>
          <w:rFonts w:hint="eastAsia" w:ascii="宋体" w:hAnsi="宋体" w:eastAsia="宋体" w:cs="宋体"/>
          <w:bCs/>
          <w:sz w:val="21"/>
          <w:szCs w:val="21"/>
          <w:shd w:val="clear" w:color="auto" w:fill="FFFFFF"/>
        </w:rPr>
        <w:t>评分标准如下：价格部分、商务部分和技术部分按百分制打分，</w:t>
      </w:r>
      <w:r>
        <w:rPr>
          <w:rFonts w:hint="eastAsia" w:ascii="宋体" w:hAnsi="宋体" w:eastAsia="宋体" w:cs="宋体"/>
          <w:bCs/>
          <w:sz w:val="21"/>
          <w:szCs w:val="21"/>
        </w:rPr>
        <w:t>按四舍五入取至小数点后两位</w:t>
      </w:r>
    </w:p>
    <w:p>
      <w:pPr>
        <w:pStyle w:val="32"/>
        <w:widowControl/>
        <w:numPr>
          <w:ilvl w:val="0"/>
          <w:numId w:val="15"/>
        </w:numPr>
        <w:spacing w:line="580" w:lineRule="exact"/>
        <w:ind w:firstLineChars="0"/>
        <w:jc w:val="left"/>
        <w:rPr>
          <w:rFonts w:ascii="Arial Unicode MS" w:hAnsi="宋体" w:eastAsia="Arial Unicode MS" w:cs="仿宋_GB2312"/>
          <w:bCs/>
          <w:sz w:val="28"/>
          <w:szCs w:val="28"/>
          <w:shd w:val="clear" w:color="auto" w:fill="FFFFFF"/>
        </w:rPr>
      </w:pPr>
      <w:r>
        <w:rPr>
          <w:rFonts w:hint="eastAsia" w:ascii="Arial Unicode MS" w:hAnsi="宋体" w:eastAsia="Arial Unicode MS" w:cs="仿宋_GB2312"/>
          <w:bCs/>
          <w:sz w:val="28"/>
          <w:szCs w:val="28"/>
          <w:shd w:val="clear" w:color="auto" w:fill="FFFFFF"/>
        </w:rPr>
        <w:t>价格部分（</w:t>
      </w:r>
      <w:r>
        <w:rPr>
          <w:rFonts w:hint="eastAsia" w:ascii="Arial Unicode MS" w:hAnsi="宋体" w:eastAsia="Arial Unicode MS" w:cs="仿宋_GB2312"/>
          <w:bCs/>
          <w:sz w:val="28"/>
          <w:szCs w:val="28"/>
          <w:shd w:val="clear" w:color="auto" w:fill="FFFFFF"/>
          <w:lang w:val="en-US" w:eastAsia="zh-CN"/>
        </w:rPr>
        <w:t>5</w:t>
      </w:r>
      <w:r>
        <w:rPr>
          <w:rFonts w:ascii="Arial Unicode MS" w:hAnsi="宋体" w:eastAsia="Arial Unicode MS" w:cs="仿宋_GB2312"/>
          <w:bCs/>
          <w:sz w:val="28"/>
          <w:szCs w:val="28"/>
          <w:shd w:val="clear" w:color="auto" w:fill="FFFFFF"/>
        </w:rPr>
        <w:t>0</w:t>
      </w:r>
      <w:r>
        <w:rPr>
          <w:rFonts w:hint="eastAsia" w:ascii="Arial Unicode MS" w:hAnsi="宋体" w:eastAsia="Arial Unicode MS" w:cs="仿宋_GB2312"/>
          <w:bCs/>
          <w:sz w:val="28"/>
          <w:szCs w:val="28"/>
          <w:shd w:val="clear" w:color="auto" w:fill="FFFFFF"/>
        </w:rPr>
        <w:t>分）</w:t>
      </w:r>
    </w:p>
    <w:tbl>
      <w:tblPr>
        <w:tblStyle w:val="24"/>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同等条件报价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lang w:val="en-US" w:eastAsia="zh-CN"/>
              </w:rPr>
              <w:t>5</w:t>
            </w:r>
            <w:r>
              <w:rPr>
                <w:rFonts w:ascii="宋体" w:hAnsi="宋体" w:eastAsia="宋体" w:cs="宋体"/>
                <w:bCs/>
                <w:kern w:val="0"/>
                <w:szCs w:val="21"/>
              </w:rPr>
              <w:t>0</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rPr>
                <w:rFonts w:ascii="宋体" w:hAnsi="宋体" w:eastAsia="宋体" w:cs="宋体"/>
                <w:bCs/>
                <w:kern w:val="0"/>
                <w:szCs w:val="21"/>
              </w:rPr>
            </w:pPr>
            <w:r>
              <w:rPr>
                <w:rFonts w:hint="eastAsia" w:ascii="宋体" w:hAnsi="宋体" w:eastAsia="宋体"/>
                <w:bCs/>
                <w:szCs w:val="21"/>
              </w:rPr>
              <w:t>将全部有效报价的算术平均值作为评审基准价。以响应报价的评审基准价为</w:t>
            </w:r>
            <w:r>
              <w:rPr>
                <w:rFonts w:hint="eastAsia" w:ascii="宋体" w:hAnsi="宋体" w:eastAsia="宋体"/>
                <w:bCs/>
                <w:szCs w:val="21"/>
                <w:lang w:val="en-US" w:eastAsia="zh-CN"/>
              </w:rPr>
              <w:t>5</w:t>
            </w:r>
            <w:r>
              <w:rPr>
                <w:rFonts w:hint="eastAsia" w:ascii="宋体" w:hAnsi="宋体" w:eastAsia="宋体"/>
                <w:bCs/>
                <w:szCs w:val="21"/>
              </w:rPr>
              <w:t xml:space="preserve">0分，采用内插法计算，供应商报价每高于评审基准价 </w:t>
            </w:r>
            <w:r>
              <w:rPr>
                <w:rFonts w:hint="eastAsia" w:ascii="宋体" w:hAnsi="宋体" w:eastAsia="宋体"/>
                <w:bCs/>
                <w:szCs w:val="21"/>
                <w:lang w:val="en-US" w:eastAsia="zh-CN"/>
              </w:rPr>
              <w:t>1</w:t>
            </w:r>
            <w:r>
              <w:rPr>
                <w:rFonts w:hint="eastAsia" w:ascii="宋体" w:hAnsi="宋体" w:eastAsia="宋体"/>
                <w:bCs/>
                <w:szCs w:val="21"/>
              </w:rPr>
              <w:t xml:space="preserve">％的扣 1 分，每低于评审基准价 </w:t>
            </w:r>
            <w:r>
              <w:rPr>
                <w:rFonts w:hint="eastAsia" w:ascii="宋体" w:hAnsi="宋体" w:eastAsia="宋体"/>
                <w:bCs/>
                <w:szCs w:val="21"/>
                <w:lang w:val="en-US" w:eastAsia="zh-CN"/>
              </w:rPr>
              <w:t>1</w:t>
            </w:r>
            <w:r>
              <w:rPr>
                <w:rFonts w:hint="eastAsia" w:ascii="宋体" w:hAnsi="宋体" w:eastAsia="宋体"/>
                <w:bCs/>
                <w:szCs w:val="21"/>
              </w:rPr>
              <w:t xml:space="preserve">％的扣 </w:t>
            </w:r>
            <w:r>
              <w:rPr>
                <w:rFonts w:hint="eastAsia" w:ascii="宋体" w:hAnsi="宋体" w:eastAsia="宋体"/>
                <w:bCs/>
                <w:szCs w:val="21"/>
                <w:lang w:val="en-US" w:eastAsia="zh-CN"/>
              </w:rPr>
              <w:t>0.5</w:t>
            </w:r>
            <w:r>
              <w:rPr>
                <w:rFonts w:hint="eastAsia" w:ascii="宋体" w:hAnsi="宋体" w:eastAsia="宋体"/>
                <w:bCs/>
                <w:szCs w:val="21"/>
              </w:rPr>
              <w:t>分，计算出供应商的响应报价得分。最低不低于 30 分，不足1%部分按直线插入法计算得分（四舍五入法精确到小数点后两位）。</w:t>
            </w:r>
          </w:p>
        </w:tc>
      </w:tr>
    </w:tbl>
    <w:p>
      <w:pPr>
        <w:widowControl/>
        <w:spacing w:line="240" w:lineRule="atLeast"/>
        <w:jc w:val="left"/>
        <w:rPr>
          <w:rFonts w:ascii="宋体" w:hAnsi="宋体" w:eastAsia="宋体" w:cs="仿宋_GB2312"/>
          <w:b/>
          <w:sz w:val="28"/>
          <w:szCs w:val="28"/>
          <w:shd w:val="clear" w:color="auto" w:fill="FFFFFF"/>
        </w:rPr>
      </w:pPr>
      <w:r>
        <w:rPr>
          <w:rFonts w:hint="eastAsia" w:ascii="宋体" w:hAnsi="宋体" w:eastAsia="宋体" w:cs="仿宋_GB2312"/>
          <w:b/>
          <w:sz w:val="28"/>
          <w:szCs w:val="28"/>
          <w:shd w:val="clear" w:color="auto" w:fill="FFFFFF"/>
        </w:rPr>
        <w:t>（</w:t>
      </w:r>
      <w:r>
        <w:rPr>
          <w:rFonts w:ascii="宋体" w:hAnsi="宋体" w:eastAsia="宋体" w:cs="仿宋_GB2312"/>
          <w:b/>
          <w:sz w:val="28"/>
          <w:szCs w:val="28"/>
          <w:shd w:val="clear" w:color="auto" w:fill="FFFFFF"/>
        </w:rPr>
        <w:t>2</w:t>
      </w:r>
      <w:r>
        <w:rPr>
          <w:rFonts w:hint="eastAsia" w:ascii="宋体" w:hAnsi="宋体" w:eastAsia="宋体" w:cs="仿宋_GB2312"/>
          <w:b/>
          <w:sz w:val="28"/>
          <w:szCs w:val="28"/>
          <w:shd w:val="clear" w:color="auto" w:fill="FFFFFF"/>
        </w:rPr>
        <w:t>）商务部分（</w:t>
      </w:r>
      <w:r>
        <w:rPr>
          <w:rFonts w:ascii="宋体" w:hAnsi="宋体" w:eastAsia="宋体" w:cs="仿宋_GB2312"/>
          <w:b/>
          <w:sz w:val="28"/>
          <w:szCs w:val="28"/>
          <w:shd w:val="clear" w:color="auto" w:fill="FFFFFF"/>
        </w:rPr>
        <w:t>1</w:t>
      </w:r>
      <w:r>
        <w:rPr>
          <w:rFonts w:hint="eastAsia" w:ascii="宋体" w:hAnsi="宋体" w:eastAsia="宋体" w:cs="仿宋_GB2312"/>
          <w:b/>
          <w:sz w:val="28"/>
          <w:szCs w:val="28"/>
          <w:shd w:val="clear" w:color="auto" w:fill="FFFFFF"/>
          <w:lang w:val="en-US" w:eastAsia="zh-CN"/>
        </w:rPr>
        <w:t>5</w:t>
      </w:r>
      <w:r>
        <w:rPr>
          <w:rFonts w:hint="eastAsia" w:ascii="宋体" w:hAnsi="宋体" w:eastAsia="宋体" w:cs="仿宋_GB2312"/>
          <w:b/>
          <w:sz w:val="28"/>
          <w:szCs w:val="28"/>
          <w:shd w:val="clear" w:color="auto" w:fill="FFFFFF"/>
        </w:rPr>
        <w:t>分）</w:t>
      </w:r>
    </w:p>
    <w:tbl>
      <w:tblPr>
        <w:tblStyle w:val="24"/>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szCs w:val="21"/>
              </w:rPr>
              <w:t>资信证明</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default" w:ascii="宋体" w:hAnsi="宋体" w:eastAsia="宋体" w:cs="宋体"/>
                <w:bCs/>
                <w:kern w:val="0"/>
                <w:szCs w:val="21"/>
                <w:lang w:val="en-US" w:eastAsia="zh-CN"/>
              </w:rPr>
            </w:pPr>
            <w:r>
              <w:rPr>
                <w:rFonts w:hint="eastAsia" w:ascii="宋体" w:hAnsi="宋体" w:eastAsia="宋体" w:cs="宋体"/>
                <w:bCs/>
                <w:kern w:val="0"/>
                <w:szCs w:val="21"/>
                <w:lang w:val="en-US" w:eastAsia="zh-CN"/>
              </w:rPr>
              <w:t>4</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1.获得</w:t>
            </w:r>
            <w:r>
              <w:rPr>
                <w:rFonts w:hint="eastAsia" w:ascii="宋体" w:hAnsi="宋体" w:eastAsia="宋体"/>
                <w:szCs w:val="21"/>
                <w:lang w:val="en-US" w:eastAsia="zh-CN"/>
              </w:rPr>
              <w:t>本项目</w:t>
            </w:r>
            <w:r>
              <w:rPr>
                <w:rFonts w:hint="eastAsia" w:ascii="宋体" w:hAnsi="宋体" w:eastAsia="宋体"/>
                <w:szCs w:val="21"/>
              </w:rPr>
              <w:t>相关荣誉证书，每一项加</w:t>
            </w:r>
            <w:r>
              <w:rPr>
                <w:rFonts w:hint="eastAsia" w:ascii="宋体" w:hAnsi="宋体" w:eastAsia="宋体"/>
                <w:szCs w:val="21"/>
                <w:lang w:val="en-US" w:eastAsia="zh-CN"/>
              </w:rPr>
              <w:t>1</w:t>
            </w:r>
            <w:r>
              <w:rPr>
                <w:rFonts w:hint="eastAsia" w:ascii="宋体" w:hAnsi="宋体" w:eastAsia="宋体"/>
                <w:szCs w:val="21"/>
              </w:rPr>
              <w:t>分，最高加</w:t>
            </w:r>
            <w:r>
              <w:rPr>
                <w:rFonts w:hint="eastAsia" w:ascii="宋体" w:hAnsi="宋体" w:eastAsia="宋体"/>
                <w:szCs w:val="21"/>
                <w:lang w:val="en-US" w:eastAsia="zh-CN"/>
              </w:rPr>
              <w:t>4</w:t>
            </w:r>
            <w:r>
              <w:rPr>
                <w:rFonts w:hint="eastAsia" w:ascii="宋体" w:hAnsi="宋体"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kern w:val="0"/>
                <w:szCs w:val="21"/>
              </w:rPr>
              <w:t>企业业绩</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eastAsia" w:ascii="宋体" w:hAnsi="宋体" w:eastAsia="宋体" w:cs="宋体"/>
                <w:bCs/>
                <w:kern w:val="0"/>
                <w:szCs w:val="21"/>
                <w:lang w:val="en-US" w:eastAsia="zh-CN"/>
              </w:rPr>
            </w:pPr>
            <w:r>
              <w:rPr>
                <w:rFonts w:hint="eastAsia" w:ascii="宋体" w:hAnsi="宋体" w:eastAsia="宋体" w:cs="宋体"/>
                <w:bCs/>
                <w:kern w:val="0"/>
                <w:szCs w:val="21"/>
                <w:lang w:val="en-US" w:eastAsia="zh-CN"/>
              </w:rPr>
              <w:t>6</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自2</w:t>
            </w:r>
            <w:r>
              <w:rPr>
                <w:rFonts w:ascii="宋体" w:hAnsi="宋体" w:eastAsia="宋体"/>
                <w:szCs w:val="21"/>
              </w:rPr>
              <w:t>02</w:t>
            </w:r>
            <w:r>
              <w:rPr>
                <w:rFonts w:hint="eastAsia" w:ascii="宋体" w:hAnsi="宋体" w:eastAsia="宋体"/>
                <w:szCs w:val="21"/>
                <w:lang w:val="en-US" w:eastAsia="zh-CN"/>
              </w:rPr>
              <w:t>1</w:t>
            </w:r>
            <w:r>
              <w:rPr>
                <w:rFonts w:hint="eastAsia" w:ascii="宋体" w:hAnsi="宋体" w:eastAsia="宋体"/>
                <w:szCs w:val="21"/>
              </w:rPr>
              <w:t>年以来签订过相关</w:t>
            </w:r>
            <w:r>
              <w:rPr>
                <w:rFonts w:hint="eastAsia" w:ascii="宋体" w:hAnsi="宋体" w:eastAsia="宋体"/>
                <w:szCs w:val="21"/>
                <w:lang w:val="en-US" w:eastAsia="zh-CN"/>
              </w:rPr>
              <w:t>项目</w:t>
            </w:r>
            <w:r>
              <w:rPr>
                <w:rFonts w:hint="eastAsia" w:ascii="宋体" w:hAnsi="宋体" w:eastAsia="宋体"/>
                <w:szCs w:val="21"/>
              </w:rPr>
              <w:t>合同的业绩，有1个得</w:t>
            </w:r>
            <w:r>
              <w:rPr>
                <w:rFonts w:hint="eastAsia" w:ascii="宋体" w:hAnsi="宋体" w:eastAsia="宋体"/>
                <w:szCs w:val="21"/>
                <w:lang w:val="en-US" w:eastAsia="zh-CN"/>
              </w:rPr>
              <w:t>2</w:t>
            </w:r>
            <w:r>
              <w:rPr>
                <w:rFonts w:hint="eastAsia" w:ascii="宋体" w:hAnsi="宋体" w:eastAsia="宋体"/>
                <w:szCs w:val="21"/>
              </w:rPr>
              <w:t>分。最多不超过</w:t>
            </w:r>
            <w:r>
              <w:rPr>
                <w:rFonts w:hint="eastAsia" w:ascii="宋体" w:hAnsi="宋体" w:eastAsia="宋体"/>
                <w:szCs w:val="21"/>
                <w:lang w:val="en-US" w:eastAsia="zh-CN"/>
              </w:rPr>
              <w:t>6</w:t>
            </w:r>
            <w:r>
              <w:rPr>
                <w:rFonts w:hint="eastAsia" w:ascii="宋体" w:hAnsi="宋体" w:eastAsia="宋体"/>
                <w:szCs w:val="21"/>
              </w:rPr>
              <w:t>分。</w:t>
            </w:r>
          </w:p>
          <w:p>
            <w:pPr>
              <w:widowControl/>
              <w:tabs>
                <w:tab w:val="left" w:pos="312"/>
              </w:tabs>
              <w:snapToGrid w:val="0"/>
              <w:spacing w:line="240" w:lineRule="atLeast"/>
              <w:jc w:val="left"/>
              <w:rPr>
                <w:rFonts w:ascii="宋体" w:hAnsi="宋体" w:eastAsia="宋体" w:cs="宋体"/>
                <w:bCs/>
                <w:kern w:val="0"/>
                <w:szCs w:val="21"/>
              </w:rPr>
            </w:pPr>
            <w:r>
              <w:rPr>
                <w:rFonts w:hint="eastAsia" w:ascii="宋体" w:hAnsi="宋体" w:eastAsia="宋体"/>
                <w:szCs w:val="21"/>
              </w:rPr>
              <w:t>提供的业绩均须以服务合同为准。提供的业绩均须以服务合同、荣誉证书复印件或其它证明材料为准。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eastAsia" w:ascii="宋体" w:hAnsi="宋体" w:eastAsia="宋体" w:cs="宋体"/>
                <w:bCs/>
                <w:kern w:val="0"/>
                <w:szCs w:val="21"/>
                <w:lang w:val="en-US" w:eastAsia="zh-CN"/>
              </w:rPr>
            </w:pPr>
            <w:r>
              <w:rPr>
                <w:rFonts w:hint="eastAsia" w:ascii="宋体" w:hAnsi="宋体" w:eastAsia="宋体" w:cs="宋体"/>
                <w:bCs/>
                <w:kern w:val="0"/>
                <w:szCs w:val="21"/>
                <w:lang w:val="en-US" w:eastAsia="zh-CN"/>
              </w:rPr>
              <w:t>3</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服务团队保障</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eastAsia" w:ascii="宋体" w:hAnsi="宋体" w:eastAsia="宋体" w:cs="宋体"/>
                <w:bCs/>
                <w:kern w:val="0"/>
                <w:szCs w:val="21"/>
                <w:lang w:val="en-US" w:eastAsia="zh-CN"/>
              </w:rPr>
            </w:pPr>
            <w:r>
              <w:rPr>
                <w:rFonts w:hint="eastAsia" w:ascii="宋体" w:hAnsi="宋体" w:eastAsia="宋体" w:cs="宋体"/>
                <w:bCs/>
                <w:kern w:val="0"/>
                <w:szCs w:val="21"/>
                <w:lang w:val="en-US" w:eastAsia="zh-CN"/>
              </w:rPr>
              <w:t>5</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0"/>
              <w:widowControl/>
              <w:adjustRightInd w:val="0"/>
              <w:snapToGrid w:val="0"/>
              <w:jc w:val="both"/>
              <w:rPr>
                <w:rFonts w:asciiTheme="minorEastAsia" w:hAnsiTheme="minorEastAsia" w:eastAsiaTheme="minorEastAsia"/>
                <w:snapToGrid w:val="0"/>
                <w:sz w:val="21"/>
                <w:szCs w:val="21"/>
              </w:rPr>
            </w:pPr>
            <w:r>
              <w:rPr>
                <w:rFonts w:asciiTheme="minorEastAsia" w:hAnsiTheme="minorEastAsia" w:eastAsiaTheme="minorEastAsia"/>
                <w:snapToGrid w:val="0"/>
                <w:sz w:val="21"/>
                <w:szCs w:val="21"/>
              </w:rPr>
              <w:t>根据对工厂服务的团队情况综合评审：</w:t>
            </w:r>
          </w:p>
          <w:p>
            <w:pPr>
              <w:pStyle w:val="50"/>
              <w:widowControl/>
              <w:adjustRightInd w:val="0"/>
              <w:snapToGrid w:val="0"/>
              <w:jc w:val="both"/>
              <w:rPr>
                <w:rFonts w:hint="eastAsia" w:asciiTheme="minorEastAsia" w:hAnsiTheme="minorEastAsia" w:eastAsiaTheme="minorEastAsia"/>
                <w:snapToGrid w:val="0"/>
                <w:sz w:val="21"/>
                <w:szCs w:val="21"/>
                <w:lang w:val="en-US" w:eastAsia="zh-CN"/>
              </w:rPr>
            </w:pPr>
            <w:r>
              <w:rPr>
                <w:rFonts w:hint="eastAsia" w:asciiTheme="minorEastAsia" w:hAnsiTheme="minorEastAsia" w:eastAsiaTheme="minorEastAsia"/>
                <w:snapToGrid w:val="0"/>
                <w:sz w:val="21"/>
                <w:szCs w:val="21"/>
                <w:lang w:val="en-US" w:eastAsia="zh-CN"/>
              </w:rPr>
              <w:t>提供运维服务人员数量在3人以上，并能随时调配，+5分；</w:t>
            </w:r>
          </w:p>
          <w:p>
            <w:pPr>
              <w:pStyle w:val="50"/>
              <w:widowControl/>
              <w:adjustRightInd w:val="0"/>
              <w:snapToGrid w:val="0"/>
              <w:jc w:val="both"/>
              <w:rPr>
                <w:rFonts w:hint="eastAsia" w:asciiTheme="minorEastAsia" w:hAnsiTheme="minorEastAsia" w:eastAsiaTheme="minorEastAsia"/>
                <w:snapToGrid w:val="0"/>
                <w:sz w:val="21"/>
                <w:szCs w:val="21"/>
                <w:lang w:val="en-US" w:eastAsia="zh-CN"/>
              </w:rPr>
            </w:pPr>
            <w:r>
              <w:rPr>
                <w:rFonts w:hint="eastAsia" w:asciiTheme="minorEastAsia" w:hAnsiTheme="minorEastAsia" w:eastAsiaTheme="minorEastAsia"/>
                <w:snapToGrid w:val="0"/>
                <w:sz w:val="21"/>
                <w:szCs w:val="21"/>
                <w:lang w:val="en-US" w:eastAsia="zh-CN"/>
              </w:rPr>
              <w:t>满足运维服务人员数量在1人以上，并能随时调配，+3分；</w:t>
            </w:r>
          </w:p>
          <w:p>
            <w:pPr>
              <w:pStyle w:val="50"/>
              <w:widowControl/>
              <w:adjustRightInd w:val="0"/>
              <w:snapToGrid w:val="0"/>
              <w:jc w:val="both"/>
              <w:rPr>
                <w:rFonts w:hint="default" w:asciiTheme="minorEastAsia" w:hAnsiTheme="minorEastAsia" w:eastAsiaTheme="minorEastAsia"/>
                <w:snapToGrid w:val="0"/>
                <w:sz w:val="21"/>
                <w:szCs w:val="21"/>
                <w:lang w:val="en-US" w:eastAsia="zh-CN"/>
              </w:rPr>
            </w:pPr>
            <w:r>
              <w:rPr>
                <w:rFonts w:hint="eastAsia" w:asciiTheme="minorEastAsia" w:hAnsiTheme="minorEastAsia" w:eastAsiaTheme="minorEastAsia"/>
                <w:snapToGrid w:val="0"/>
                <w:sz w:val="21"/>
                <w:szCs w:val="21"/>
                <w:lang w:val="en-US" w:eastAsia="zh-CN"/>
              </w:rPr>
              <w:t>运维服务人员不能满足数量需求随时调配，0分。</w:t>
            </w:r>
          </w:p>
          <w:p>
            <w:pPr>
              <w:widowControl/>
              <w:tabs>
                <w:tab w:val="left" w:pos="312"/>
              </w:tabs>
              <w:snapToGrid w:val="0"/>
              <w:spacing w:line="240" w:lineRule="atLeast"/>
              <w:jc w:val="left"/>
              <w:rPr>
                <w:rFonts w:hint="eastAsia" w:ascii="宋体" w:hAnsi="宋体" w:eastAsia="宋体"/>
                <w:szCs w:val="21"/>
              </w:rPr>
            </w:pPr>
            <w:r>
              <w:rPr>
                <w:rFonts w:asciiTheme="minorEastAsia" w:hAnsiTheme="minorEastAsia" w:eastAsiaTheme="minorEastAsia"/>
                <w:snapToGrid w:val="0"/>
                <w:sz w:val="21"/>
                <w:szCs w:val="21"/>
              </w:rPr>
              <w:t>注：需提供相关人员身份证、劳动合同、近 6 个月内投标人为其缴纳的任意三个月的社保证明扫描件，并加盖公章，否则不得分。</w:t>
            </w:r>
          </w:p>
        </w:tc>
      </w:tr>
    </w:tbl>
    <w:p>
      <w:pPr>
        <w:spacing w:line="240" w:lineRule="atLeast"/>
        <w:rPr>
          <w:rFonts w:ascii="宋体" w:hAnsi="宋体" w:eastAsia="宋体" w:cs="仿宋_GB2312"/>
          <w:b/>
          <w:bCs/>
          <w:sz w:val="28"/>
          <w:szCs w:val="28"/>
        </w:rPr>
      </w:pPr>
      <w:r>
        <w:rPr>
          <w:rFonts w:hint="eastAsia" w:ascii="宋体" w:hAnsi="宋体" w:eastAsia="宋体" w:cs="仿宋_GB2312"/>
          <w:b/>
          <w:bCs/>
          <w:sz w:val="28"/>
          <w:szCs w:val="28"/>
        </w:rPr>
        <w:t>（</w:t>
      </w:r>
      <w:r>
        <w:rPr>
          <w:rFonts w:ascii="宋体" w:hAnsi="宋体" w:eastAsia="宋体" w:cs="仿宋_GB2312"/>
          <w:b/>
          <w:bCs/>
          <w:sz w:val="28"/>
          <w:szCs w:val="28"/>
        </w:rPr>
        <w:t>3</w:t>
      </w:r>
      <w:r>
        <w:rPr>
          <w:rFonts w:hint="eastAsia" w:ascii="宋体" w:hAnsi="宋体" w:eastAsia="宋体" w:cs="仿宋_GB2312"/>
          <w:b/>
          <w:bCs/>
          <w:sz w:val="28"/>
          <w:szCs w:val="28"/>
        </w:rPr>
        <w:t>）技术部分（</w:t>
      </w:r>
      <w:r>
        <w:rPr>
          <w:rFonts w:ascii="宋体" w:hAnsi="宋体" w:eastAsia="宋体" w:cs="仿宋_GB2312"/>
          <w:b/>
          <w:bCs/>
          <w:sz w:val="28"/>
          <w:szCs w:val="28"/>
        </w:rPr>
        <w:t>3</w:t>
      </w:r>
      <w:r>
        <w:rPr>
          <w:rFonts w:hint="eastAsia" w:ascii="宋体" w:hAnsi="宋体" w:eastAsia="宋体" w:cs="仿宋_GB2312"/>
          <w:b/>
          <w:bCs/>
          <w:sz w:val="28"/>
          <w:szCs w:val="28"/>
          <w:lang w:val="en-US" w:eastAsia="zh-CN"/>
        </w:rPr>
        <w:t>5</w:t>
      </w:r>
      <w:r>
        <w:rPr>
          <w:rFonts w:hint="eastAsia" w:ascii="宋体" w:hAnsi="宋体" w:eastAsia="宋体" w:cs="仿宋_GB2312"/>
          <w:b/>
          <w:bCs/>
          <w:sz w:val="28"/>
          <w:szCs w:val="28"/>
        </w:rPr>
        <w:t>分）</w:t>
      </w:r>
    </w:p>
    <w:tbl>
      <w:tblPr>
        <w:tblStyle w:val="24"/>
        <w:tblW w:w="964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3"/>
        <w:gridCol w:w="1507"/>
        <w:gridCol w:w="767"/>
        <w:gridCol w:w="5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lang w:val="en-US" w:eastAsia="zh-CN"/>
              </w:rPr>
              <w:t>服务</w:t>
            </w:r>
            <w:r>
              <w:rPr>
                <w:rFonts w:hint="eastAsia" w:ascii="宋体" w:hAnsi="宋体" w:eastAsia="宋体" w:cs="宋体"/>
                <w:kern w:val="0"/>
                <w:szCs w:val="21"/>
              </w:rPr>
              <w:t>方案与技术措施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hint="eastAsia" w:ascii="宋体" w:hAnsi="宋体" w:eastAsia="宋体" w:cs="宋体"/>
                <w:bCs/>
                <w:kern w:val="0"/>
                <w:szCs w:val="21"/>
                <w:lang w:val="en-US" w:eastAsia="zh-CN"/>
              </w:rPr>
            </w:pPr>
            <w:r>
              <w:rPr>
                <w:rFonts w:ascii="宋体" w:hAnsi="宋体" w:eastAsia="宋体" w:cs="宋体"/>
                <w:bCs/>
                <w:kern w:val="0"/>
                <w:szCs w:val="21"/>
              </w:rPr>
              <w:t>1</w:t>
            </w:r>
            <w:r>
              <w:rPr>
                <w:rFonts w:hint="eastAsia" w:ascii="宋体" w:hAnsi="宋体" w:eastAsia="宋体" w:cs="宋体"/>
                <w:bCs/>
                <w:kern w:val="0"/>
                <w:szCs w:val="21"/>
                <w:lang w:val="en-US" w:eastAsia="zh-CN"/>
              </w:rPr>
              <w:t>0</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rPr>
                <w:rFonts w:hint="eastAsia" w:ascii="宋体" w:hAnsi="宋体" w:eastAsia="宋体"/>
                <w:bCs/>
                <w:spacing w:val="-4"/>
                <w:szCs w:val="21"/>
              </w:rPr>
            </w:pPr>
            <w:r>
              <w:rPr>
                <w:rFonts w:hint="eastAsia" w:ascii="宋体" w:hAnsi="宋体" w:eastAsia="宋体"/>
                <w:bCs/>
                <w:spacing w:val="-4"/>
                <w:szCs w:val="21"/>
              </w:rPr>
              <w:t>根据投标方制定可行的服务方案，结合服务方案及公司实际情况进行综合评审：</w:t>
            </w:r>
          </w:p>
          <w:p>
            <w:pPr>
              <w:widowControl/>
              <w:spacing w:line="240" w:lineRule="atLeast"/>
              <w:jc w:val="left"/>
              <w:rPr>
                <w:rFonts w:hint="eastAsia" w:ascii="宋体" w:hAnsi="宋体" w:eastAsia="宋体"/>
                <w:bCs/>
                <w:spacing w:val="-4"/>
                <w:szCs w:val="21"/>
              </w:rPr>
            </w:pPr>
            <w:r>
              <w:rPr>
                <w:rFonts w:hint="eastAsia" w:ascii="宋体" w:hAnsi="宋体" w:eastAsia="宋体"/>
                <w:bCs/>
                <w:spacing w:val="-4"/>
                <w:szCs w:val="21"/>
                <w:lang w:val="en-US" w:eastAsia="zh-CN"/>
              </w:rPr>
              <w:t>1.</w:t>
            </w:r>
            <w:r>
              <w:rPr>
                <w:rFonts w:hint="eastAsia" w:ascii="宋体" w:hAnsi="宋体" w:eastAsia="宋体"/>
                <w:bCs/>
                <w:spacing w:val="-4"/>
                <w:szCs w:val="21"/>
              </w:rPr>
              <w:t>方案完善周到、科学合理、可行性强得</w:t>
            </w:r>
            <w:r>
              <w:rPr>
                <w:rFonts w:hint="eastAsia" w:ascii="宋体" w:hAnsi="宋体" w:eastAsia="宋体"/>
                <w:bCs/>
                <w:spacing w:val="-4"/>
                <w:szCs w:val="21"/>
                <w:lang w:val="en-US" w:eastAsia="zh-CN"/>
              </w:rPr>
              <w:t>8.1-10</w:t>
            </w:r>
            <w:r>
              <w:rPr>
                <w:rFonts w:hint="eastAsia" w:ascii="宋体" w:hAnsi="宋体" w:eastAsia="宋体"/>
                <w:bCs/>
                <w:spacing w:val="-4"/>
                <w:szCs w:val="21"/>
              </w:rPr>
              <w:t>分；</w:t>
            </w:r>
          </w:p>
          <w:p>
            <w:pPr>
              <w:widowControl/>
              <w:spacing w:line="240" w:lineRule="atLeast"/>
              <w:jc w:val="left"/>
              <w:rPr>
                <w:rFonts w:hint="eastAsia" w:ascii="宋体" w:hAnsi="宋体" w:eastAsia="宋体"/>
                <w:bCs/>
                <w:spacing w:val="-4"/>
                <w:szCs w:val="21"/>
              </w:rPr>
            </w:pPr>
            <w:r>
              <w:rPr>
                <w:rFonts w:hint="eastAsia" w:ascii="宋体" w:hAnsi="宋体" w:eastAsia="宋体"/>
                <w:bCs/>
                <w:spacing w:val="-4"/>
                <w:szCs w:val="21"/>
                <w:lang w:val="en-US" w:eastAsia="zh-CN"/>
              </w:rPr>
              <w:t>2.</w:t>
            </w:r>
            <w:r>
              <w:rPr>
                <w:rFonts w:hint="eastAsia" w:ascii="宋体" w:hAnsi="宋体" w:eastAsia="宋体"/>
                <w:bCs/>
                <w:spacing w:val="-4"/>
                <w:szCs w:val="21"/>
              </w:rPr>
              <w:t>方案相对完整、科学、可行性设计较好得</w:t>
            </w:r>
            <w:r>
              <w:rPr>
                <w:rFonts w:hint="eastAsia" w:ascii="宋体" w:hAnsi="宋体" w:eastAsia="宋体"/>
                <w:bCs/>
                <w:spacing w:val="-4"/>
                <w:szCs w:val="21"/>
                <w:lang w:val="en-US" w:eastAsia="zh-CN"/>
              </w:rPr>
              <w:t>4.1-8</w:t>
            </w:r>
            <w:r>
              <w:rPr>
                <w:rFonts w:hint="eastAsia" w:ascii="宋体" w:hAnsi="宋体" w:eastAsia="宋体"/>
                <w:bCs/>
                <w:spacing w:val="-4"/>
                <w:szCs w:val="21"/>
              </w:rPr>
              <w:t>分；</w:t>
            </w:r>
          </w:p>
          <w:p>
            <w:pPr>
              <w:widowControl/>
              <w:spacing w:line="240" w:lineRule="atLeast"/>
              <w:jc w:val="left"/>
              <w:rPr>
                <w:rFonts w:hint="default" w:ascii="宋体" w:hAnsi="宋体" w:eastAsia="宋体"/>
                <w:bCs/>
                <w:spacing w:val="-4"/>
                <w:szCs w:val="21"/>
                <w:lang w:val="en-US" w:eastAsia="zh-CN"/>
              </w:rPr>
            </w:pPr>
            <w:r>
              <w:rPr>
                <w:rFonts w:hint="eastAsia" w:ascii="宋体" w:hAnsi="宋体" w:eastAsia="宋体"/>
                <w:bCs/>
                <w:spacing w:val="-4"/>
                <w:szCs w:val="21"/>
                <w:lang w:val="en-US" w:eastAsia="zh-CN"/>
              </w:rPr>
              <w:t>3.</w:t>
            </w:r>
            <w:r>
              <w:rPr>
                <w:rFonts w:hint="eastAsia" w:ascii="宋体" w:hAnsi="宋体" w:eastAsia="宋体"/>
                <w:bCs/>
                <w:spacing w:val="-4"/>
                <w:szCs w:val="21"/>
              </w:rPr>
              <w:t>方案一般、可行性较差、设计不全面得</w:t>
            </w:r>
            <w:r>
              <w:rPr>
                <w:rFonts w:hint="eastAsia" w:ascii="宋体" w:hAnsi="宋体" w:eastAsia="宋体"/>
                <w:bCs/>
                <w:spacing w:val="-4"/>
                <w:szCs w:val="21"/>
                <w:lang w:val="en-US" w:eastAsia="zh-CN"/>
              </w:rPr>
              <w:t>0-4</w:t>
            </w:r>
            <w:r>
              <w:rPr>
                <w:rFonts w:hint="eastAsia" w:ascii="宋体" w:hAnsi="宋体" w:eastAsia="宋体"/>
                <w:bCs/>
                <w:spacing w:val="-4"/>
                <w:szCs w:val="21"/>
              </w:rPr>
              <w:t>分。</w:t>
            </w:r>
          </w:p>
          <w:p>
            <w:pPr>
              <w:widowControl/>
              <w:spacing w:line="240" w:lineRule="atLeast"/>
              <w:jc w:val="left"/>
              <w:rPr>
                <w:rFonts w:hint="default" w:ascii="宋体" w:hAnsi="宋体" w:eastAsia="宋体"/>
                <w:bCs/>
                <w:spacing w:val="-4"/>
                <w:szCs w:val="21"/>
                <w:lang w:val="en-US" w:eastAsia="zh-CN"/>
              </w:rPr>
            </w:pPr>
            <w:r>
              <w:rPr>
                <w:rFonts w:hint="eastAsia" w:ascii="宋体" w:hAnsi="宋体" w:eastAsia="宋体"/>
                <w:bCs/>
                <w:spacing w:val="-4"/>
                <w:szCs w:val="21"/>
                <w:lang w:val="en-US" w:eastAsia="zh-CN"/>
              </w:rPr>
              <w:t>4.本项缺项得0分。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kern w:val="0"/>
                <w:szCs w:val="21"/>
              </w:rPr>
            </w:pPr>
            <w:r>
              <w:rPr>
                <w:rFonts w:hint="eastAsia" w:cs="宋体" w:asciiTheme="minorEastAsia" w:hAnsiTheme="minorEastAsia"/>
                <w:snapToGrid w:val="0"/>
                <w:szCs w:val="21"/>
              </w:rPr>
              <w:t>服务重点、难点分析及对策</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bCs/>
                <w:kern w:val="0"/>
                <w:szCs w:val="21"/>
                <w:lang w:val="en-US" w:eastAsia="zh-CN"/>
              </w:rPr>
            </w:pPr>
            <w:r>
              <w:rPr>
                <w:rFonts w:hint="eastAsia" w:ascii="宋体" w:hAnsi="宋体" w:eastAsia="宋体" w:cs="宋体"/>
                <w:bCs/>
                <w:kern w:val="0"/>
                <w:szCs w:val="21"/>
                <w:lang w:val="en-US" w:eastAsia="zh-CN"/>
              </w:rPr>
              <w:t>10</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0"/>
              <w:rPr>
                <w:rFonts w:hint="default" w:asciiTheme="minorEastAsia" w:hAnsiTheme="minorEastAsia" w:eastAsiaTheme="minorEastAsia" w:cstheme="minorBidi"/>
                <w:kern w:val="2"/>
                <w:sz w:val="21"/>
                <w:szCs w:val="21"/>
              </w:rPr>
            </w:pPr>
            <w:r>
              <w:rPr>
                <w:rFonts w:asciiTheme="minorEastAsia" w:hAnsiTheme="minorEastAsia" w:eastAsiaTheme="minorEastAsia" w:cstheme="minorBidi"/>
                <w:kern w:val="2"/>
                <w:sz w:val="21"/>
                <w:szCs w:val="21"/>
              </w:rPr>
              <w:t>投标人提供的本项目整体工作服务方案，包括对本项目的重点、难点分析、工作推进计划，以确保按时完成工作等方面进行综合评价。</w:t>
            </w:r>
          </w:p>
          <w:p>
            <w:pPr>
              <w:pStyle w:val="50"/>
              <w:rPr>
                <w:rFonts w:hint="default" w:asciiTheme="minorEastAsia" w:hAnsiTheme="minorEastAsia" w:eastAsiaTheme="minorEastAsia" w:cstheme="minorBidi"/>
                <w:kern w:val="2"/>
                <w:sz w:val="21"/>
                <w:szCs w:val="21"/>
              </w:rPr>
            </w:pPr>
            <w:r>
              <w:rPr>
                <w:rFonts w:asciiTheme="minorEastAsia" w:hAnsiTheme="minorEastAsia" w:eastAsiaTheme="minorEastAsia" w:cstheme="minorBidi"/>
                <w:kern w:val="2"/>
                <w:sz w:val="21"/>
                <w:szCs w:val="21"/>
              </w:rPr>
              <w:t>1</w:t>
            </w:r>
            <w:r>
              <w:rPr>
                <w:rFonts w:hint="default" w:asciiTheme="minorEastAsia" w:hAnsiTheme="minorEastAsia" w:eastAsiaTheme="minorEastAsia" w:cstheme="minorBidi"/>
                <w:kern w:val="2"/>
                <w:sz w:val="21"/>
                <w:szCs w:val="21"/>
              </w:rPr>
              <w:t>.</w:t>
            </w:r>
            <w:r>
              <w:rPr>
                <w:rFonts w:asciiTheme="minorEastAsia" w:hAnsiTheme="minorEastAsia" w:eastAsiaTheme="minorEastAsia" w:cstheme="minorBidi"/>
                <w:kern w:val="2"/>
                <w:sz w:val="21"/>
                <w:szCs w:val="21"/>
              </w:rPr>
              <w:t xml:space="preserve">项目整体工作服务方案内容完整全面，能充分考虑项目需求，重难点分析到位，工作推进计划切实可行，得 </w:t>
            </w:r>
            <w:r>
              <w:rPr>
                <w:rFonts w:hint="eastAsia" w:asciiTheme="minorEastAsia" w:hAnsiTheme="minorEastAsia" w:eastAsiaTheme="minorEastAsia" w:cstheme="minorBidi"/>
                <w:kern w:val="2"/>
                <w:sz w:val="21"/>
                <w:szCs w:val="21"/>
                <w:lang w:val="en-US" w:eastAsia="zh-CN"/>
              </w:rPr>
              <w:t>8.1-10</w:t>
            </w:r>
            <w:r>
              <w:rPr>
                <w:rFonts w:asciiTheme="minorEastAsia" w:hAnsiTheme="minorEastAsia" w:eastAsiaTheme="minorEastAsia" w:cstheme="minorBidi"/>
                <w:kern w:val="2"/>
                <w:sz w:val="21"/>
                <w:szCs w:val="21"/>
              </w:rPr>
              <w:t>分；</w:t>
            </w:r>
          </w:p>
          <w:p>
            <w:pPr>
              <w:pStyle w:val="50"/>
              <w:rPr>
                <w:rFonts w:hint="default" w:asciiTheme="minorEastAsia" w:hAnsiTheme="minorEastAsia" w:eastAsiaTheme="minorEastAsia" w:cstheme="minorBidi"/>
                <w:kern w:val="2"/>
                <w:sz w:val="21"/>
                <w:szCs w:val="21"/>
              </w:rPr>
            </w:pPr>
            <w:r>
              <w:rPr>
                <w:rFonts w:hint="default" w:asciiTheme="minorEastAsia" w:hAnsiTheme="minorEastAsia" w:eastAsiaTheme="minorEastAsia" w:cstheme="minorBidi"/>
                <w:kern w:val="2"/>
                <w:sz w:val="21"/>
                <w:szCs w:val="21"/>
              </w:rPr>
              <w:t>2.</w:t>
            </w:r>
            <w:r>
              <w:rPr>
                <w:rFonts w:asciiTheme="minorEastAsia" w:hAnsiTheme="minorEastAsia" w:eastAsiaTheme="minorEastAsia" w:cstheme="minorBidi"/>
                <w:kern w:val="2"/>
                <w:sz w:val="21"/>
                <w:szCs w:val="21"/>
              </w:rPr>
              <w:t>项目整体工作服务方案内容较完整，可满足项目需求，重难点分析比较合理，工作推进计划基本满足项目需求，得</w:t>
            </w:r>
            <w:r>
              <w:rPr>
                <w:rFonts w:hint="default" w:asciiTheme="minorEastAsia" w:hAnsiTheme="minorEastAsia" w:eastAsiaTheme="minorEastAsia" w:cstheme="minorBidi"/>
                <w:kern w:val="2"/>
                <w:sz w:val="21"/>
                <w:szCs w:val="21"/>
              </w:rPr>
              <w:t>4</w:t>
            </w:r>
            <w:r>
              <w:rPr>
                <w:rFonts w:hint="eastAsia" w:asciiTheme="minorEastAsia" w:hAnsiTheme="minorEastAsia" w:eastAsiaTheme="minorEastAsia" w:cstheme="minorBidi"/>
                <w:kern w:val="2"/>
                <w:sz w:val="21"/>
                <w:szCs w:val="21"/>
                <w:lang w:val="en-US" w:eastAsia="zh-CN"/>
              </w:rPr>
              <w:t>.1</w:t>
            </w:r>
            <w:r>
              <w:rPr>
                <w:rFonts w:hint="default" w:asciiTheme="minorEastAsia" w:hAnsiTheme="minorEastAsia" w:eastAsiaTheme="minorEastAsia" w:cstheme="minorBidi"/>
                <w:kern w:val="2"/>
                <w:sz w:val="21"/>
                <w:szCs w:val="21"/>
              </w:rPr>
              <w:t>-</w:t>
            </w:r>
            <w:r>
              <w:rPr>
                <w:rFonts w:hint="eastAsia" w:asciiTheme="minorEastAsia" w:hAnsiTheme="minorEastAsia" w:eastAsiaTheme="minorEastAsia" w:cstheme="minorBidi"/>
                <w:kern w:val="2"/>
                <w:sz w:val="21"/>
                <w:szCs w:val="21"/>
                <w:lang w:val="en-US" w:eastAsia="zh-CN"/>
              </w:rPr>
              <w:t>8</w:t>
            </w:r>
            <w:r>
              <w:rPr>
                <w:rFonts w:asciiTheme="minorEastAsia" w:hAnsiTheme="minorEastAsia" w:eastAsiaTheme="minorEastAsia" w:cstheme="minorBidi"/>
                <w:kern w:val="2"/>
                <w:sz w:val="21"/>
                <w:szCs w:val="21"/>
              </w:rPr>
              <w:t>分；</w:t>
            </w:r>
          </w:p>
          <w:p>
            <w:pPr>
              <w:pStyle w:val="50"/>
              <w:rPr>
                <w:rFonts w:hint="default" w:asciiTheme="minorEastAsia" w:hAnsiTheme="minorEastAsia" w:eastAsiaTheme="minorEastAsia" w:cstheme="minorBidi"/>
                <w:kern w:val="2"/>
                <w:sz w:val="21"/>
                <w:szCs w:val="21"/>
              </w:rPr>
            </w:pPr>
            <w:r>
              <w:rPr>
                <w:rFonts w:asciiTheme="minorEastAsia" w:hAnsiTheme="minorEastAsia" w:eastAsiaTheme="minorEastAsia" w:cstheme="minorBidi"/>
                <w:kern w:val="2"/>
                <w:sz w:val="21"/>
                <w:szCs w:val="21"/>
              </w:rPr>
              <w:t>3</w:t>
            </w:r>
            <w:r>
              <w:rPr>
                <w:rFonts w:hint="default" w:asciiTheme="minorEastAsia" w:hAnsiTheme="minorEastAsia" w:eastAsiaTheme="minorEastAsia" w:cstheme="minorBidi"/>
                <w:kern w:val="2"/>
                <w:sz w:val="21"/>
                <w:szCs w:val="21"/>
              </w:rPr>
              <w:t>.</w:t>
            </w:r>
            <w:r>
              <w:rPr>
                <w:rFonts w:asciiTheme="minorEastAsia" w:hAnsiTheme="minorEastAsia" w:eastAsiaTheme="minorEastAsia" w:cstheme="minorBidi"/>
                <w:kern w:val="2"/>
                <w:sz w:val="21"/>
                <w:szCs w:val="21"/>
              </w:rPr>
              <w:t>项目整体工作服务方案一般，重难点分析不全面，工作推进计划时效性较差，得</w:t>
            </w:r>
            <w:r>
              <w:rPr>
                <w:rFonts w:hint="eastAsia" w:asciiTheme="minorEastAsia" w:hAnsiTheme="minorEastAsia" w:eastAsiaTheme="minorEastAsia" w:cstheme="minorBidi"/>
                <w:kern w:val="2"/>
                <w:sz w:val="21"/>
                <w:szCs w:val="21"/>
                <w:lang w:val="en-US" w:eastAsia="zh-CN"/>
              </w:rPr>
              <w:t>0</w:t>
            </w:r>
            <w:r>
              <w:rPr>
                <w:rFonts w:hint="default" w:asciiTheme="minorEastAsia" w:hAnsiTheme="minorEastAsia" w:eastAsiaTheme="minorEastAsia" w:cstheme="minorBidi"/>
                <w:kern w:val="2"/>
                <w:sz w:val="21"/>
                <w:szCs w:val="21"/>
              </w:rPr>
              <w:t>-</w:t>
            </w:r>
            <w:r>
              <w:rPr>
                <w:rFonts w:hint="eastAsia" w:asciiTheme="minorEastAsia" w:hAnsiTheme="minorEastAsia" w:eastAsiaTheme="minorEastAsia" w:cstheme="minorBidi"/>
                <w:kern w:val="2"/>
                <w:sz w:val="21"/>
                <w:szCs w:val="21"/>
                <w:lang w:val="en-US" w:eastAsia="zh-CN"/>
              </w:rPr>
              <w:t>4</w:t>
            </w:r>
            <w:r>
              <w:rPr>
                <w:rFonts w:asciiTheme="minorEastAsia" w:hAnsiTheme="minorEastAsia" w:eastAsiaTheme="minorEastAsia" w:cstheme="minorBidi"/>
                <w:kern w:val="2"/>
                <w:sz w:val="21"/>
                <w:szCs w:val="21"/>
              </w:rPr>
              <w:t>分；</w:t>
            </w:r>
          </w:p>
          <w:p>
            <w:pPr>
              <w:pStyle w:val="50"/>
              <w:widowControl/>
              <w:adjustRightInd w:val="0"/>
              <w:snapToGrid w:val="0"/>
              <w:jc w:val="both"/>
              <w:rPr>
                <w:rFonts w:ascii="宋体" w:hAnsi="宋体" w:eastAsia="宋体"/>
                <w:bCs/>
                <w:spacing w:val="-4"/>
                <w:szCs w:val="21"/>
              </w:rPr>
            </w:pPr>
            <w:r>
              <w:rPr>
                <w:rFonts w:asciiTheme="minorEastAsia" w:hAnsiTheme="minorEastAsia" w:eastAsiaTheme="minorEastAsia" w:cstheme="minorBidi"/>
                <w:kern w:val="2"/>
                <w:sz w:val="21"/>
                <w:szCs w:val="21"/>
              </w:rPr>
              <w:t>4</w:t>
            </w:r>
            <w:r>
              <w:rPr>
                <w:rFonts w:hint="default" w:asciiTheme="minorEastAsia" w:hAnsiTheme="minorEastAsia" w:eastAsiaTheme="minorEastAsia" w:cstheme="minorBidi"/>
                <w:kern w:val="2"/>
                <w:sz w:val="21"/>
                <w:szCs w:val="21"/>
              </w:rPr>
              <w:t>.</w:t>
            </w:r>
            <w:r>
              <w:rPr>
                <w:rFonts w:asciiTheme="minorEastAsia" w:hAnsiTheme="minorEastAsia" w:eastAsiaTheme="minorEastAsia" w:cstheme="minorBidi"/>
                <w:kern w:val="2"/>
                <w:sz w:val="21"/>
                <w:szCs w:val="21"/>
              </w:rPr>
              <w:t>本项缺项得0分。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3</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szCs w:val="21"/>
              </w:rPr>
            </w:pPr>
            <w:r>
              <w:rPr>
                <w:rFonts w:hint="eastAsia" w:ascii="宋体" w:hAnsi="宋体" w:eastAsia="宋体" w:cs="宋体"/>
                <w:szCs w:val="21"/>
              </w:rPr>
              <w:t>应急响应处置方案</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针对本项目施工过程中可能遇到突发状况制定有效可行的预案：</w:t>
            </w:r>
          </w:p>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1.应急响应预案全面，内容具体、条理清晰、具有可行性，得4</w:t>
            </w:r>
            <w:r>
              <w:rPr>
                <w:rFonts w:hint="eastAsia" w:ascii="宋体" w:hAnsi="宋体" w:eastAsia="宋体" w:cs="宋体"/>
                <w:kern w:val="0"/>
                <w:szCs w:val="21"/>
                <w:lang w:val="en-US" w:eastAsia="zh-CN"/>
              </w:rPr>
              <w:t>.1</w:t>
            </w:r>
            <w:r>
              <w:rPr>
                <w:rFonts w:hint="eastAsia" w:ascii="宋体" w:hAnsi="宋体" w:eastAsia="宋体" w:cs="宋体"/>
                <w:kern w:val="0"/>
                <w:szCs w:val="21"/>
              </w:rPr>
              <w:t>-</w:t>
            </w:r>
            <w:r>
              <w:rPr>
                <w:rFonts w:ascii="宋体" w:hAnsi="宋体" w:eastAsia="宋体" w:cs="宋体"/>
                <w:kern w:val="0"/>
                <w:szCs w:val="21"/>
              </w:rPr>
              <w:t>5</w:t>
            </w:r>
            <w:r>
              <w:rPr>
                <w:rFonts w:hint="eastAsia" w:ascii="宋体" w:hAnsi="宋体" w:eastAsia="宋体" w:cs="宋体"/>
                <w:kern w:val="0"/>
                <w:szCs w:val="21"/>
              </w:rPr>
              <w:t>分；</w:t>
            </w:r>
          </w:p>
          <w:p>
            <w:pPr>
              <w:pStyle w:val="6"/>
              <w:spacing w:line="240" w:lineRule="atLeast"/>
              <w:ind w:firstLine="0" w:firstLineChars="0"/>
              <w:rPr>
                <w:rFonts w:ascii="宋体" w:hAnsi="宋体"/>
                <w:szCs w:val="21"/>
              </w:rPr>
            </w:pPr>
            <w:r>
              <w:rPr>
                <w:rFonts w:hint="eastAsia" w:ascii="宋体" w:hAnsi="宋体"/>
                <w:szCs w:val="21"/>
              </w:rPr>
              <w:t>2.应急响应预案相对比较全面，措施具有可行性，得2</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4</w:t>
            </w:r>
            <w:r>
              <w:rPr>
                <w:rFonts w:hint="eastAsia" w:ascii="宋体" w:hAnsi="宋体"/>
                <w:szCs w:val="21"/>
              </w:rPr>
              <w:t>分；</w:t>
            </w:r>
          </w:p>
          <w:p>
            <w:pPr>
              <w:pStyle w:val="6"/>
              <w:spacing w:line="240" w:lineRule="atLeast"/>
              <w:ind w:firstLine="0" w:firstLineChars="0"/>
              <w:rPr>
                <w:rFonts w:ascii="宋体" w:hAnsi="宋体"/>
                <w:szCs w:val="21"/>
              </w:rPr>
            </w:pPr>
            <w:r>
              <w:rPr>
                <w:rFonts w:hint="eastAsia" w:ascii="宋体" w:hAnsi="宋体"/>
                <w:szCs w:val="21"/>
              </w:rPr>
              <w:t>3.应急响应预案相对简单，措施具有可行性，得0-</w:t>
            </w:r>
            <w:r>
              <w:rPr>
                <w:rFonts w:hint="eastAsia" w:ascii="宋体" w:hAnsi="宋体"/>
                <w:szCs w:val="21"/>
                <w:lang w:val="en-US" w:eastAsia="zh-CN"/>
              </w:rPr>
              <w:t>2</w:t>
            </w:r>
            <w:r>
              <w:rPr>
                <w:rFonts w:hint="eastAsia" w:ascii="宋体" w:hAnsi="宋体"/>
                <w:szCs w:val="21"/>
              </w:rPr>
              <w:t>分</w:t>
            </w:r>
          </w:p>
          <w:p>
            <w:pPr>
              <w:widowControl/>
              <w:spacing w:line="240" w:lineRule="atLeast"/>
              <w:jc w:val="left"/>
              <w:textAlignment w:val="center"/>
              <w:rPr>
                <w:rFonts w:ascii="宋体" w:hAnsi="宋体" w:eastAsia="宋体" w:cs="宋体"/>
                <w:kern w:val="0"/>
                <w:szCs w:val="21"/>
              </w:rPr>
            </w:pPr>
            <w:r>
              <w:rPr>
                <w:rFonts w:hint="eastAsia" w:ascii="宋体" w:hAnsi="宋体" w:eastAsia="宋体"/>
                <w:szCs w:val="21"/>
              </w:rPr>
              <w:t>4.</w:t>
            </w:r>
            <w:r>
              <w:rPr>
                <w:rFonts w:asciiTheme="minorEastAsia" w:hAnsiTheme="minorEastAsia" w:eastAsiaTheme="minorEastAsia" w:cstheme="minorBidi"/>
                <w:kern w:val="2"/>
                <w:sz w:val="21"/>
                <w:szCs w:val="21"/>
              </w:rPr>
              <w:t>本项缺项得0分。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4</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hint="default" w:ascii="宋体" w:hAnsi="宋体" w:eastAsia="宋体" w:cs="宋体"/>
                <w:szCs w:val="21"/>
                <w:lang w:val="en-US" w:eastAsia="zh-CN"/>
              </w:rPr>
            </w:pPr>
            <w:r>
              <w:rPr>
                <w:rFonts w:hint="eastAsia" w:ascii="宋体" w:hAnsi="宋体" w:eastAsia="宋体" w:cs="宋体"/>
                <w:snapToGrid w:val="0"/>
                <w:szCs w:val="21"/>
                <w:lang w:val="en-US" w:eastAsia="zh-CN"/>
              </w:rPr>
              <w:t>售后保障措施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hint="default" w:ascii="宋体" w:hAnsi="宋体" w:eastAsia="宋体"/>
                <w:kern w:val="0"/>
                <w:szCs w:val="21"/>
                <w:lang w:val="en-US" w:eastAsia="zh-CN"/>
              </w:rPr>
            </w:pPr>
            <w:r>
              <w:rPr>
                <w:rFonts w:hint="eastAsia" w:ascii="宋体" w:hAnsi="宋体" w:eastAsia="宋体"/>
                <w:kern w:val="0"/>
                <w:szCs w:val="21"/>
                <w:lang w:val="en-US" w:eastAsia="zh-CN"/>
              </w:rPr>
              <w:t>1.提供切实可行的培训测试方案，完善的售后服务体系的 4.1-5分；</w:t>
            </w:r>
          </w:p>
          <w:p>
            <w:pPr>
              <w:adjustRightInd w:val="0"/>
              <w:snapToGrid w:val="0"/>
              <w:spacing w:line="240" w:lineRule="atLeast"/>
              <w:rPr>
                <w:rFonts w:hint="eastAsia" w:ascii="宋体" w:hAnsi="宋体" w:eastAsia="宋体"/>
                <w:kern w:val="0"/>
                <w:szCs w:val="21"/>
              </w:rPr>
            </w:pPr>
            <w:r>
              <w:rPr>
                <w:rFonts w:hint="eastAsia" w:ascii="宋体" w:hAnsi="宋体" w:eastAsia="宋体"/>
                <w:kern w:val="0"/>
                <w:szCs w:val="21"/>
                <w:lang w:val="en-US" w:eastAsia="zh-CN"/>
              </w:rPr>
              <w:t>2.</w:t>
            </w:r>
            <w:r>
              <w:rPr>
                <w:rFonts w:hint="eastAsia" w:ascii="宋体" w:hAnsi="宋体" w:eastAsia="宋体"/>
                <w:kern w:val="0"/>
                <w:szCs w:val="21"/>
              </w:rPr>
              <w:t>内容有一定缺失或针对性不强的：</w:t>
            </w:r>
            <w:r>
              <w:rPr>
                <w:rFonts w:hint="eastAsia" w:ascii="宋体" w:hAnsi="宋体" w:eastAsia="宋体"/>
                <w:kern w:val="0"/>
                <w:szCs w:val="21"/>
                <w:lang w:val="en-US" w:eastAsia="zh-CN"/>
              </w:rPr>
              <w:t>2.1</w:t>
            </w:r>
            <w:r>
              <w:rPr>
                <w:rFonts w:hint="eastAsia" w:ascii="宋体" w:hAnsi="宋体" w:eastAsia="宋体"/>
                <w:kern w:val="0"/>
                <w:szCs w:val="21"/>
              </w:rPr>
              <w:t>-</w:t>
            </w:r>
            <w:r>
              <w:rPr>
                <w:rFonts w:hint="eastAsia" w:ascii="宋体" w:hAnsi="宋体" w:eastAsia="宋体"/>
                <w:kern w:val="0"/>
                <w:szCs w:val="21"/>
                <w:lang w:val="en-US" w:eastAsia="zh-CN"/>
              </w:rPr>
              <w:t>4</w:t>
            </w:r>
            <w:r>
              <w:rPr>
                <w:rFonts w:hint="eastAsia" w:ascii="宋体" w:hAnsi="宋体" w:eastAsia="宋体"/>
                <w:kern w:val="0"/>
                <w:szCs w:val="21"/>
              </w:rPr>
              <w:t>分；</w:t>
            </w:r>
          </w:p>
          <w:p>
            <w:pPr>
              <w:adjustRightInd w:val="0"/>
              <w:snapToGrid w:val="0"/>
              <w:spacing w:line="240" w:lineRule="atLeast"/>
              <w:rPr>
                <w:rFonts w:hint="eastAsia" w:ascii="宋体" w:hAnsi="宋体" w:eastAsia="宋体"/>
                <w:kern w:val="0"/>
                <w:szCs w:val="21"/>
              </w:rPr>
            </w:pPr>
            <w:r>
              <w:rPr>
                <w:rFonts w:hint="eastAsia" w:ascii="宋体" w:hAnsi="宋体" w:eastAsia="宋体"/>
                <w:kern w:val="0"/>
                <w:szCs w:val="21"/>
                <w:lang w:val="en-US" w:eastAsia="zh-CN"/>
              </w:rPr>
              <w:t>3.</w:t>
            </w:r>
            <w:r>
              <w:rPr>
                <w:rFonts w:hint="eastAsia" w:ascii="宋体" w:hAnsi="宋体" w:eastAsia="宋体"/>
                <w:kern w:val="0"/>
                <w:szCs w:val="21"/>
              </w:rPr>
              <w:t>内容严重缺失且无针对性的：0</w:t>
            </w:r>
            <w:r>
              <w:rPr>
                <w:rFonts w:hint="eastAsia" w:ascii="宋体" w:hAnsi="宋体" w:eastAsia="宋体"/>
                <w:kern w:val="0"/>
                <w:szCs w:val="21"/>
                <w:lang w:val="en-US" w:eastAsia="zh-CN"/>
              </w:rPr>
              <w:t>-2</w:t>
            </w:r>
            <w:r>
              <w:rPr>
                <w:rFonts w:hint="eastAsia" w:ascii="宋体" w:hAnsi="宋体" w:eastAsia="宋体"/>
                <w:kern w:val="0"/>
                <w:szCs w:val="21"/>
              </w:rPr>
              <w:t>分。</w:t>
            </w:r>
          </w:p>
          <w:p>
            <w:pPr>
              <w:adjustRightInd w:val="0"/>
              <w:snapToGrid w:val="0"/>
              <w:spacing w:line="240" w:lineRule="atLeast"/>
              <w:rPr>
                <w:rFonts w:hint="default" w:ascii="宋体" w:hAnsi="宋体" w:eastAsia="宋体"/>
                <w:kern w:val="0"/>
                <w:szCs w:val="21"/>
                <w:lang w:val="en-US" w:eastAsia="zh-CN"/>
              </w:rPr>
            </w:pPr>
            <w:r>
              <w:rPr>
                <w:rFonts w:hint="eastAsia" w:ascii="宋体" w:hAnsi="宋体" w:eastAsia="宋体"/>
                <w:kern w:val="0"/>
                <w:szCs w:val="21"/>
                <w:lang w:val="en-US" w:eastAsia="zh-CN"/>
              </w:rPr>
              <w:t>4.</w:t>
            </w:r>
            <w:r>
              <w:rPr>
                <w:rFonts w:asciiTheme="minorEastAsia" w:hAnsiTheme="minorEastAsia" w:eastAsiaTheme="minorEastAsia" w:cstheme="minorBidi"/>
                <w:kern w:val="2"/>
                <w:sz w:val="21"/>
                <w:szCs w:val="21"/>
              </w:rPr>
              <w:t>本项缺项得0分。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5</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hint="default" w:ascii="宋体" w:hAnsi="宋体" w:eastAsia="宋体" w:cs="宋体"/>
                <w:snapToGrid w:val="0"/>
                <w:szCs w:val="21"/>
                <w:lang w:val="en-US" w:eastAsia="zh-CN"/>
              </w:rPr>
            </w:pPr>
            <w:r>
              <w:rPr>
                <w:rFonts w:hint="eastAsia" w:ascii="宋体" w:hAnsi="宋体" w:eastAsia="宋体" w:cs="宋体"/>
                <w:snapToGrid w:val="0"/>
                <w:szCs w:val="21"/>
                <w:lang w:val="en-US" w:eastAsia="zh-CN"/>
              </w:rPr>
              <w:t>运维实施完成进度控制</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6"/>
              </w:numPr>
              <w:adjustRightInd w:val="0"/>
              <w:snapToGrid w:val="0"/>
              <w:spacing w:line="240" w:lineRule="atLeast"/>
              <w:rPr>
                <w:rFonts w:hint="eastAsia" w:ascii="宋体" w:hAnsi="宋体" w:eastAsia="宋体"/>
                <w:kern w:val="0"/>
                <w:szCs w:val="21"/>
                <w:lang w:val="en-US" w:eastAsia="zh-CN"/>
              </w:rPr>
            </w:pPr>
            <w:r>
              <w:rPr>
                <w:rFonts w:hint="eastAsia" w:ascii="宋体" w:hAnsi="宋体" w:eastAsia="宋体"/>
                <w:kern w:val="0"/>
                <w:szCs w:val="21"/>
                <w:lang w:val="en-US" w:eastAsia="zh-CN"/>
              </w:rPr>
              <w:t>严格按照项目计划进度实施，提前2个月完成项目验收的，得5分；</w:t>
            </w:r>
          </w:p>
          <w:p>
            <w:pPr>
              <w:numPr>
                <w:ilvl w:val="0"/>
                <w:numId w:val="16"/>
              </w:numPr>
              <w:adjustRightInd w:val="0"/>
              <w:snapToGrid w:val="0"/>
              <w:spacing w:line="240" w:lineRule="atLeast"/>
              <w:rPr>
                <w:rFonts w:hint="eastAsia" w:ascii="宋体" w:hAnsi="宋体" w:eastAsia="宋体"/>
                <w:kern w:val="0"/>
                <w:szCs w:val="21"/>
                <w:lang w:val="en-US" w:eastAsia="zh-CN"/>
              </w:rPr>
            </w:pPr>
            <w:r>
              <w:rPr>
                <w:rFonts w:hint="eastAsia" w:ascii="宋体" w:hAnsi="宋体" w:eastAsia="宋体"/>
                <w:kern w:val="0"/>
                <w:szCs w:val="21"/>
                <w:lang w:val="en-US" w:eastAsia="zh-CN"/>
              </w:rPr>
              <w:t>严格按照项目计划进度实施，提前1个月完成项目验收的，得3分；</w:t>
            </w:r>
          </w:p>
          <w:p>
            <w:pPr>
              <w:numPr>
                <w:ilvl w:val="0"/>
                <w:numId w:val="16"/>
              </w:numPr>
              <w:adjustRightInd w:val="0"/>
              <w:snapToGrid w:val="0"/>
              <w:spacing w:line="240" w:lineRule="atLeast"/>
              <w:rPr>
                <w:rFonts w:hint="eastAsia" w:ascii="宋体" w:hAnsi="宋体" w:eastAsia="宋体"/>
                <w:kern w:val="0"/>
                <w:szCs w:val="21"/>
                <w:lang w:val="en-US" w:eastAsia="zh-CN"/>
              </w:rPr>
            </w:pPr>
            <w:r>
              <w:rPr>
                <w:rFonts w:hint="eastAsia" w:ascii="宋体" w:hAnsi="宋体" w:eastAsia="宋体"/>
                <w:kern w:val="0"/>
                <w:szCs w:val="21"/>
                <w:lang w:val="en-US" w:eastAsia="zh-CN"/>
              </w:rPr>
              <w:t>严格按照项目计划进度实施，提前20天完成项目验收的，得1分；</w:t>
            </w:r>
          </w:p>
          <w:p>
            <w:pPr>
              <w:adjustRightInd w:val="0"/>
              <w:snapToGrid w:val="0"/>
              <w:spacing w:line="240" w:lineRule="atLeast"/>
              <w:rPr>
                <w:rFonts w:hint="default" w:ascii="宋体" w:hAnsi="宋体" w:eastAsia="宋体"/>
                <w:kern w:val="0"/>
                <w:szCs w:val="21"/>
                <w:lang w:val="en-US" w:eastAsia="zh-CN"/>
              </w:rPr>
            </w:pPr>
            <w:r>
              <w:rPr>
                <w:rFonts w:hint="eastAsia" w:ascii="宋体" w:hAnsi="宋体" w:eastAsia="宋体"/>
                <w:kern w:val="0"/>
                <w:szCs w:val="21"/>
                <w:lang w:val="en-US" w:eastAsia="zh-CN"/>
              </w:rPr>
              <w:t>4.不能提前完成得0分。</w:t>
            </w:r>
          </w:p>
        </w:tc>
      </w:tr>
    </w:tbl>
    <w:p>
      <w:pPr>
        <w:spacing w:line="520" w:lineRule="exact"/>
        <w:rPr>
          <w:rFonts w:ascii="仿宋_GB2312" w:hAnsi="仿宋_GB2312" w:eastAsia="仿宋_GB2312" w:cs="仿宋_GB2312"/>
          <w:bCs/>
          <w:sz w:val="28"/>
          <w:szCs w:val="28"/>
        </w:rPr>
      </w:pPr>
    </w:p>
    <w:p>
      <w:pPr>
        <w:spacing w:line="520" w:lineRule="exact"/>
        <w:rPr>
          <w:rFonts w:hint="eastAsia" w:ascii="宋体" w:hAnsi="宋体" w:eastAsia="宋体" w:cs="宋体"/>
          <w:b/>
          <w:bCs w:val="0"/>
          <w:sz w:val="21"/>
          <w:szCs w:val="21"/>
        </w:rPr>
      </w:pPr>
      <w:r>
        <w:rPr>
          <w:rFonts w:hint="eastAsia" w:ascii="宋体" w:hAnsi="宋体" w:eastAsia="宋体" w:cs="宋体"/>
          <w:b/>
          <w:bCs w:val="0"/>
          <w:sz w:val="21"/>
          <w:szCs w:val="21"/>
        </w:rPr>
        <w:t>二、推荐入围单位</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（1）按评审得分由高到低顺序排列。得分相同的，按评标价由低到高顺序排列。得分且评标价相同的，按技术指标优劣顺序排列。得分、评标价及技术指标相同的，由评标委员会集体研究处理。</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（2）评审中遇到的其它问题，由评标小组集体研究处理。</w:t>
      </w:r>
    </w:p>
    <w:p>
      <w:pPr>
        <w:spacing w:line="520" w:lineRule="exact"/>
        <w:ind w:firstLine="455" w:firstLineChars="217"/>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评标小组根据评标专家评分及签字的会议纪要，推荐入围单位。</w:t>
      </w:r>
    </w:p>
    <w:p>
      <w:pPr>
        <w:spacing w:line="520" w:lineRule="exact"/>
        <w:rPr>
          <w:rFonts w:hint="eastAsia" w:ascii="宋体" w:hAnsi="宋体" w:eastAsia="宋体" w:cs="宋体"/>
          <w:b/>
          <w:bCs/>
          <w:sz w:val="21"/>
          <w:szCs w:val="21"/>
        </w:rPr>
      </w:pPr>
      <w:r>
        <w:rPr>
          <w:rFonts w:hint="eastAsia" w:ascii="宋体" w:hAnsi="宋体" w:eastAsia="宋体" w:cs="宋体"/>
          <w:b/>
          <w:bCs/>
          <w:sz w:val="21"/>
          <w:szCs w:val="21"/>
        </w:rPr>
        <w:t>三、中标单位的确定</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招标方谈判小组根据综合评分情况初步确定中标单位，并将评标结果按审批流程报批。</w:t>
      </w:r>
    </w:p>
    <w:p>
      <w:pPr>
        <w:ind w:firstLine="1050" w:firstLineChars="500"/>
        <w:rPr>
          <w:rFonts w:hint="eastAsia" w:ascii="宋体" w:hAnsi="宋体" w:eastAsia="宋体" w:cs="宋体"/>
          <w:bCs/>
          <w:sz w:val="21"/>
          <w:szCs w:val="21"/>
        </w:rPr>
      </w:pPr>
    </w:p>
    <w:p>
      <w:pPr>
        <w:widowControl/>
        <w:jc w:val="left"/>
        <w:rPr>
          <w:rFonts w:hint="eastAsia" w:ascii="宋体" w:hAnsi="宋体" w:eastAsia="宋体" w:cs="宋体"/>
          <w:bCs/>
          <w:sz w:val="21"/>
          <w:szCs w:val="21"/>
        </w:rPr>
      </w:pPr>
      <w:r>
        <w:rPr>
          <w:rFonts w:hint="eastAsia" w:ascii="宋体" w:hAnsi="宋体" w:eastAsia="宋体" w:cs="宋体"/>
          <w:bCs/>
          <w:sz w:val="21"/>
          <w:szCs w:val="21"/>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五</w:t>
      </w:r>
      <w:r>
        <w:rPr>
          <w:rFonts w:hint="eastAsia" w:ascii="黑体" w:eastAsia="黑体"/>
          <w:b/>
          <w:sz w:val="36"/>
          <w:szCs w:val="36"/>
        </w:rPr>
        <w:t xml:space="preserve">章 </w:t>
      </w:r>
      <w:r>
        <w:rPr>
          <w:rFonts w:hint="eastAsia" w:ascii="黑体" w:eastAsia="黑体"/>
          <w:b/>
          <w:sz w:val="36"/>
          <w:szCs w:val="36"/>
          <w:lang w:val="en-US" w:eastAsia="zh-CN"/>
        </w:rPr>
        <w:t>响应文件</w:t>
      </w:r>
    </w:p>
    <w:p>
      <w:pPr>
        <w:spacing w:line="360" w:lineRule="auto"/>
        <w:ind w:firstLine="480"/>
        <w:jc w:val="both"/>
        <w:rPr>
          <w:rFonts w:hint="eastAsia" w:ascii="Arial Unicode MS" w:eastAsia="Arial Unicode MS"/>
          <w:sz w:val="32"/>
          <w:szCs w:val="32"/>
          <w:shd w:val="clear" w:color="auto" w:fill="FFFFFF"/>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spacing w:line="360" w:lineRule="auto"/>
        <w:ind w:firstLine="480"/>
        <w:jc w:val="center"/>
        <w:rPr>
          <w:rFonts w:ascii="Arial Unicode MS" w:eastAsia="Arial Unicode MS"/>
          <w:sz w:val="30"/>
          <w:szCs w:val="30"/>
          <w:shd w:val="clear" w:color="auto" w:fill="FFFFFF"/>
        </w:rPr>
      </w:pPr>
      <w:r>
        <w:rPr>
          <w:rFonts w:hint="eastAsia" w:asciiTheme="minorEastAsia" w:hAnsiTheme="minorEastAsia"/>
          <w:sz w:val="30"/>
          <w:szCs w:val="30"/>
          <w:shd w:val="clear" w:color="auto" w:fill="FFFFFF"/>
        </w:rPr>
        <w:t>（以下响应内容具体模板可根据要求更改，标红为固定格式）</w:t>
      </w:r>
    </w:p>
    <w:p>
      <w:pPr>
        <w:numPr>
          <w:ilvl w:val="0"/>
          <w:numId w:val="17"/>
        </w:numPr>
        <w:spacing w:line="400" w:lineRule="exact"/>
        <w:jc w:val="center"/>
        <w:rPr>
          <w:rFonts w:ascii="黑体" w:hAnsi="黑体" w:eastAsia="黑体" w:cs="仿宋_GB2312"/>
          <w:b/>
          <w:bCs/>
          <w:sz w:val="30"/>
          <w:szCs w:val="30"/>
        </w:rPr>
      </w:pPr>
      <w:bookmarkStart w:id="4" w:name="_Toc13912_WPSOffice_Level1"/>
      <w:r>
        <w:rPr>
          <w:rFonts w:hint="eastAsia" w:ascii="黑体" w:hAnsi="黑体" w:eastAsia="黑体" w:cs="仿宋_GB2312"/>
          <w:sz w:val="30"/>
          <w:szCs w:val="30"/>
        </w:rPr>
        <w:t>营业执照、</w:t>
      </w:r>
      <w:r>
        <w:rPr>
          <w:rFonts w:hint="eastAsia" w:ascii="黑体" w:hAnsi="黑体" w:eastAsia="黑体" w:cs="仿宋_GB2312"/>
          <w:sz w:val="30"/>
          <w:szCs w:val="30"/>
          <w:lang w:val="en-US" w:eastAsia="zh-CN"/>
        </w:rPr>
        <w:t>荣誉证书</w:t>
      </w:r>
      <w:r>
        <w:rPr>
          <w:rFonts w:hint="eastAsia" w:ascii="黑体" w:hAnsi="黑体" w:eastAsia="黑体" w:cs="仿宋_GB2312"/>
          <w:sz w:val="30"/>
          <w:szCs w:val="30"/>
        </w:rPr>
        <w:t>等资质文件</w:t>
      </w:r>
    </w:p>
    <w:p>
      <w:pPr>
        <w:tabs>
          <w:tab w:val="left" w:pos="720"/>
        </w:tabs>
        <w:spacing w:line="400" w:lineRule="exact"/>
        <w:jc w:val="center"/>
        <w:rPr>
          <w:rFonts w:hint="eastAsia" w:ascii="宋体" w:hAnsi="宋体" w:eastAsia="宋体" w:cs="宋体"/>
          <w:sz w:val="28"/>
          <w:szCs w:val="28"/>
        </w:rPr>
      </w:pPr>
      <w:r>
        <w:rPr>
          <w:rFonts w:hint="eastAsia" w:ascii="宋体" w:hAnsi="宋体" w:eastAsia="宋体" w:cs="宋体"/>
          <w:sz w:val="28"/>
          <w:szCs w:val="28"/>
        </w:rPr>
        <w:t>投标人营</w:t>
      </w:r>
      <w:r>
        <w:rPr>
          <w:rFonts w:hint="eastAsia" w:ascii="宋体" w:hAnsi="宋体" w:eastAsia="宋体" w:cs="宋体"/>
          <w:sz w:val="28"/>
          <w:szCs w:val="28"/>
          <w:highlight w:val="none"/>
        </w:rPr>
        <w:t>业执照、</w:t>
      </w:r>
      <w:r>
        <w:rPr>
          <w:rFonts w:hint="eastAsia" w:ascii="宋体" w:hAnsi="宋体" w:eastAsia="宋体" w:cs="宋体"/>
          <w:sz w:val="28"/>
          <w:szCs w:val="28"/>
          <w:highlight w:val="none"/>
          <w:lang w:val="en-US" w:eastAsia="zh-CN"/>
        </w:rPr>
        <w:t>项目经理曾担任过的EPM同类项目开发案例</w:t>
      </w:r>
      <w:r>
        <w:rPr>
          <w:rFonts w:hint="eastAsia" w:ascii="宋体" w:hAnsi="宋体" w:eastAsia="宋体" w:cs="宋体"/>
          <w:sz w:val="28"/>
          <w:szCs w:val="28"/>
          <w:highlight w:val="none"/>
        </w:rPr>
        <w:t>、荣誉证书等（提供复印件并加盖公章，能清晰反映年检情况）。</w:t>
      </w:r>
    </w:p>
    <w:p>
      <w:pPr>
        <w:tabs>
          <w:tab w:val="left" w:pos="720"/>
        </w:tabs>
        <w:spacing w:line="400" w:lineRule="exact"/>
        <w:jc w:val="center"/>
        <w:rPr>
          <w:rFonts w:hint="eastAsia" w:ascii="宋体" w:hAnsi="宋体" w:eastAsia="宋体" w:cs="宋体"/>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numPr>
          <w:ilvl w:val="0"/>
          <w:numId w:val="17"/>
        </w:numPr>
        <w:spacing w:line="400" w:lineRule="exact"/>
        <w:jc w:val="center"/>
        <w:rPr>
          <w:rFonts w:ascii="黑体" w:hAnsi="黑体" w:eastAsia="黑体" w:cs="仿宋_GB2312"/>
          <w:b/>
          <w:bCs/>
          <w:sz w:val="30"/>
          <w:szCs w:val="30"/>
        </w:rPr>
      </w:pPr>
      <w:r>
        <w:rPr>
          <w:rFonts w:hint="eastAsia" w:ascii="黑体" w:hAnsi="黑体" w:eastAsia="黑体" w:cs="仿宋_GB2312"/>
          <w:b/>
          <w:bCs/>
          <w:sz w:val="30"/>
          <w:szCs w:val="30"/>
        </w:rPr>
        <w:t>投标单位的承诺函</w:t>
      </w:r>
      <w:bookmarkEnd w:id="4"/>
    </w:p>
    <w:p>
      <w:pPr>
        <w:spacing w:line="520" w:lineRule="exact"/>
        <w:jc w:val="center"/>
        <w:rPr>
          <w:rFonts w:ascii="仿宋_GB2312" w:hAnsi="仿宋_GB2312" w:eastAsia="仿宋_GB2312" w:cs="仿宋_GB2312"/>
          <w:b/>
          <w:bCs/>
          <w:sz w:val="28"/>
          <w:szCs w:val="28"/>
        </w:rPr>
      </w:pPr>
    </w:p>
    <w:p>
      <w:pPr>
        <w:pStyle w:val="57"/>
        <w:tabs>
          <w:tab w:val="left" w:pos="600"/>
          <w:tab w:val="clear" w:pos="2160"/>
          <w:tab w:val="clear" w:pos="2520"/>
        </w:tabs>
        <w:adjustRightInd w:val="0"/>
        <w:spacing w:line="520" w:lineRule="exact"/>
        <w:rPr>
          <w:rFonts w:ascii="仿宋_GB2312" w:hAnsi="仿宋_GB2312" w:eastAsia="仿宋_GB2312" w:cs="仿宋_GB2312"/>
          <w:szCs w:val="28"/>
          <w:lang w:eastAsia="zh-CN"/>
        </w:rPr>
      </w:pPr>
      <w:r>
        <w:rPr>
          <w:rFonts w:hint="eastAsia" w:ascii="仿宋_GB2312" w:hAnsi="仿宋_GB2312" w:eastAsia="仿宋_GB2312" w:cs="仿宋_GB2312"/>
          <w:snapToGrid/>
          <w:kern w:val="2"/>
          <w:szCs w:val="28"/>
          <w:lang w:val="en-US" w:eastAsia="zh-CN"/>
        </w:rPr>
        <w:t>致：</w:t>
      </w:r>
      <w:r>
        <w:rPr>
          <w:rFonts w:hint="eastAsia" w:ascii="仿宋_GB2312" w:hAnsi="仿宋_GB2312" w:eastAsia="仿宋_GB2312" w:cs="仿宋_GB2312"/>
          <w:snapToGrid/>
          <w:kern w:val="2"/>
          <w:szCs w:val="28"/>
          <w:lang w:val="en-US" w:eastAsia="zh-CN"/>
        </w:rPr>
        <w:tab/>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我代表</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（投标单位名称），在此作如下承诺： </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1.完全理解和接受招标文件的一切规定和要求。</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2.投标报价为闭口价，即在投标有效期，该投标报价固定不变。</w:t>
      </w:r>
    </w:p>
    <w:p>
      <w:pPr>
        <w:pStyle w:val="6"/>
        <w:spacing w:line="520" w:lineRule="exact"/>
        <w:ind w:left="559" w:leftChars="266"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3.若中标，我方将按照招标文件及我方投标文件的具体规定签订</w:t>
      </w:r>
    </w:p>
    <w:p>
      <w:pPr>
        <w:pStyle w:val="6"/>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合同。</w:t>
      </w:r>
    </w:p>
    <w:p>
      <w:pPr>
        <w:pStyle w:val="6"/>
        <w:spacing w:line="520" w:lineRule="exact"/>
        <w:ind w:firstLine="579" w:firstLineChars="207"/>
        <w:rPr>
          <w:rFonts w:ascii="仿宋_GB2312" w:hAnsi="仿宋_GB2312" w:eastAsia="仿宋_GB2312" w:cs="仿宋_GB2312"/>
          <w:sz w:val="28"/>
          <w:szCs w:val="28"/>
        </w:rPr>
      </w:pPr>
      <w:r>
        <w:rPr>
          <w:rFonts w:hint="eastAsia" w:ascii="仿宋_GB2312" w:hAnsi="仿宋_GB2312" w:eastAsia="仿宋_GB2312" w:cs="仿宋_GB2312"/>
          <w:sz w:val="28"/>
          <w:szCs w:val="28"/>
        </w:rPr>
        <w:t>4.在整个招、投标过程中，我方若有违反以下承诺的行为，贵方</w:t>
      </w:r>
    </w:p>
    <w:p>
      <w:pPr>
        <w:pStyle w:val="6"/>
        <w:spacing w:line="520" w:lineRule="exact"/>
        <w:ind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可按招标文件之规定给予惩罚，我方完全接受。</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A.不与招标人、其他投标人或者招标代理机构串通投标，损害国家利益、社会利益或他人的合法权益。</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B.不向招标人或评标委员会成员或相关人员行贿，以牟取中标。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C.不以他人名义投标或者其他方式弄虚作假，骗取中标。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D.不接受任何形式的挂靠，不扰乱招投标市场秩序。</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E.不在投标中哄抬价格或恶意压价。</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F.不在招投标活动中虚假投诉。</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5.在整个招、投标过程中及招、投标结束后，未经招标单位书</w:t>
      </w:r>
    </w:p>
    <w:p>
      <w:pPr>
        <w:pStyle w:val="6"/>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面同意，我方保证不向任何第三方泄露本次招、投标的任何信息、资料及内容。</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6.投标文件中所有关于投标单位资格的文件、证明、陈述均是</w:t>
      </w:r>
    </w:p>
    <w:p>
      <w:pPr>
        <w:pStyle w:val="6"/>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真实的、准确的。若有违背，我公司承担由此而产生的一切后果。</w:t>
      </w:r>
    </w:p>
    <w:p>
      <w:pPr>
        <w:pStyle w:val="6"/>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7.本承诺函与合同具有同等的法律效力。</w:t>
      </w:r>
    </w:p>
    <w:p>
      <w:pPr>
        <w:pStyle w:val="6"/>
        <w:spacing w:line="520" w:lineRule="exact"/>
        <w:ind w:firstLine="3259" w:firstLineChars="116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pStyle w:val="6"/>
        <w:spacing w:line="520" w:lineRule="exact"/>
        <w:ind w:firstLine="3259" w:firstLineChars="1164"/>
        <w:rPr>
          <w:rFonts w:ascii="仿宋_GB2312" w:hAnsi="仿宋_GB2312" w:eastAsia="仿宋_GB2312" w:cs="仿宋_GB2312"/>
          <w:sz w:val="28"/>
          <w:szCs w:val="28"/>
        </w:rPr>
      </w:pPr>
      <w:r>
        <w:rPr>
          <w:rFonts w:hint="eastAsia" w:ascii="仿宋_GB2312" w:hAnsi="仿宋_GB2312" w:eastAsia="仿宋_GB2312" w:cs="仿宋_GB2312"/>
          <w:sz w:val="28"/>
          <w:szCs w:val="28"/>
        </w:rPr>
        <w:t>投标单位：（公章）</w:t>
      </w:r>
    </w:p>
    <w:p>
      <w:pPr>
        <w:pStyle w:val="6"/>
        <w:spacing w:line="520" w:lineRule="exact"/>
        <w:ind w:firstLine="3239" w:firstLineChars="1157"/>
        <w:rPr>
          <w:rFonts w:ascii="宋体" w:hAnsi="宋体"/>
          <w:sz w:val="28"/>
        </w:rPr>
      </w:pPr>
      <w:r>
        <w:rPr>
          <w:rFonts w:hint="eastAsia" w:ascii="仿宋_GB2312" w:hAnsi="仿宋_GB2312" w:eastAsia="仿宋_GB2312" w:cs="仿宋_GB2312"/>
          <w:sz w:val="28"/>
          <w:szCs w:val="28"/>
        </w:rPr>
        <w:t>日期：       年     月    日</w:t>
      </w:r>
    </w:p>
    <w:p>
      <w:pPr>
        <w:spacing w:line="560" w:lineRule="exact"/>
        <w:jc w:val="center"/>
        <w:rPr>
          <w:rFonts w:ascii="仿宋_GB2312" w:hAnsi="仿宋_GB2312" w:eastAsia="仿宋_GB2312" w:cs="仿宋_GB2312"/>
          <w:b/>
          <w:sz w:val="28"/>
          <w:szCs w:val="28"/>
        </w:rPr>
      </w:pPr>
      <w:bookmarkStart w:id="5" w:name="_Toc3814_WPSOffice_Level1"/>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三、</w:t>
      </w:r>
      <w:bookmarkEnd w:id="5"/>
      <w:r>
        <w:rPr>
          <w:rFonts w:hint="eastAsia" w:ascii="黑体" w:hAnsi="黑体" w:eastAsia="黑体" w:cs="仿宋_GB2312"/>
          <w:b/>
          <w:sz w:val="30"/>
          <w:szCs w:val="30"/>
        </w:rPr>
        <w:t>法定代表人身份证明书</w:t>
      </w:r>
    </w:p>
    <w:p>
      <w:pPr>
        <w:spacing w:line="560" w:lineRule="exact"/>
        <w:jc w:val="center"/>
        <w:rPr>
          <w:rFonts w:ascii="黑体" w:hAnsi="黑体" w:eastAsia="黑体" w:cs="仿宋_GB2312"/>
          <w:b/>
          <w:bCs/>
          <w:sz w:val="30"/>
          <w:szCs w:val="30"/>
        </w:rPr>
      </w:pPr>
      <w:r>
        <w:rPr>
          <w:rFonts w:hint="eastAsia" w:ascii="黑体" w:hAnsi="黑体" w:eastAsia="黑体" w:cs="仿宋_GB2312"/>
          <w:b/>
          <w:bCs/>
          <w:sz w:val="30"/>
          <w:szCs w:val="30"/>
        </w:rPr>
        <w:t>（法定代表人参加投标的，出具此证明书）</w:t>
      </w:r>
    </w:p>
    <w:p>
      <w:pPr>
        <w:spacing w:line="480" w:lineRule="exact"/>
        <w:rPr>
          <w:rFonts w:ascii="仿宋_GB2312" w:hAnsi="仿宋_GB2312" w:eastAsia="仿宋_GB2312" w:cs="仿宋_GB2312"/>
          <w:sz w:val="28"/>
          <w:szCs w:val="28"/>
        </w:rPr>
      </w:pPr>
    </w:p>
    <w:p>
      <w:pPr>
        <w:spacing w:line="480" w:lineRule="exact"/>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法定代表人姓名 </w:t>
      </w:r>
      <w:r>
        <w:rPr>
          <w:rFonts w:hint="eastAsia" w:ascii="仿宋_GB2312" w:hAnsi="仿宋_GB2312" w:eastAsia="仿宋_GB2312" w:cs="仿宋_GB2312"/>
          <w:sz w:val="28"/>
          <w:szCs w:val="28"/>
        </w:rPr>
        <w:t>在我公司（或企业、单位）任（董事长、经理）职务，是我</w:t>
      </w:r>
      <w:r>
        <w:rPr>
          <w:rFonts w:hint="eastAsia" w:ascii="仿宋_GB2312" w:hAnsi="仿宋_GB2312" w:eastAsia="仿宋_GB2312" w:cs="仿宋_GB2312"/>
          <w:sz w:val="28"/>
          <w:szCs w:val="28"/>
          <w:u w:val="single"/>
        </w:rPr>
        <w:t xml:space="preserve">     公司全称    </w:t>
      </w:r>
      <w:r>
        <w:rPr>
          <w:rFonts w:hint="eastAsia" w:ascii="仿宋_GB2312" w:hAnsi="仿宋_GB2312" w:eastAsia="仿宋_GB2312" w:cs="仿宋_GB2312"/>
          <w:sz w:val="28"/>
          <w:szCs w:val="28"/>
        </w:rPr>
        <w:t>的法定代表人。现就参加</w:t>
      </w:r>
      <w:r>
        <w:rPr>
          <w:rFonts w:hint="eastAsia" w:ascii="仿宋_GB2312" w:hAnsi="仿宋_GB2312" w:eastAsia="仿宋_GB2312" w:cs="仿宋_GB2312"/>
          <w:sz w:val="28"/>
          <w:szCs w:val="28"/>
          <w:u w:val="single"/>
        </w:rPr>
        <w:t xml:space="preserve">   采购单位名称   </w:t>
      </w:r>
      <w:r>
        <w:rPr>
          <w:rFonts w:hint="eastAsia" w:ascii="仿宋_GB2312" w:hAnsi="仿宋_GB2312" w:eastAsia="仿宋_GB2312" w:cs="仿宋_GB2312"/>
          <w:sz w:val="28"/>
          <w:szCs w:val="28"/>
        </w:rPr>
        <w:t>组织的采购项目</w:t>
      </w:r>
      <w:r>
        <w:rPr>
          <w:rFonts w:hint="eastAsia" w:ascii="仿宋_GB2312" w:hAnsi="仿宋_GB2312" w:eastAsia="仿宋_GB2312" w:cs="仿宋_GB2312"/>
          <w:sz w:val="28"/>
          <w:szCs w:val="28"/>
          <w:u w:val="single"/>
        </w:rPr>
        <w:t xml:space="preserve">         采购项目名称         </w:t>
      </w:r>
      <w:r>
        <w:rPr>
          <w:rFonts w:hint="eastAsia" w:ascii="仿宋_GB2312" w:hAnsi="仿宋_GB2312" w:eastAsia="仿宋_GB2312" w:cs="仿宋_GB2312"/>
          <w:sz w:val="28"/>
          <w:szCs w:val="28"/>
        </w:rPr>
        <w:t>的投标签署投标文件。</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spacing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tbl>
      <w:tblPr>
        <w:tblStyle w:val="24"/>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（※此处请粘贴法定代表人身份证</w:t>
            </w:r>
          </w:p>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复印件※）</w:t>
            </w:r>
          </w:p>
          <w:p>
            <w:pPr>
              <w:spacing w:line="480" w:lineRule="exact"/>
              <w:rPr>
                <w:rFonts w:ascii="仿宋_GB2312" w:hAnsi="仿宋_GB2312" w:eastAsia="仿宋_GB2312" w:cs="仿宋_GB2312"/>
                <w:sz w:val="28"/>
                <w:szCs w:val="28"/>
              </w:rPr>
            </w:pPr>
          </w:p>
          <w:p>
            <w:pPr>
              <w:spacing w:line="480" w:lineRule="exact"/>
              <w:rPr>
                <w:rFonts w:ascii="仿宋_GB2312" w:hAnsi="仿宋_GB2312" w:eastAsia="仿宋_GB2312" w:cs="仿宋_GB2312"/>
                <w:sz w:val="28"/>
                <w:szCs w:val="28"/>
              </w:rPr>
            </w:pPr>
          </w:p>
        </w:tc>
      </w:tr>
    </w:tbl>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line="480" w:lineRule="exact"/>
        <w:jc w:val="right"/>
        <w:rPr>
          <w:rFonts w:ascii="仿宋_GB2312" w:hAnsi="仿宋_GB2312" w:eastAsia="仿宋_GB2312" w:cs="仿宋_GB2312"/>
          <w:sz w:val="28"/>
          <w:szCs w:val="28"/>
        </w:rPr>
      </w:pPr>
    </w:p>
    <w:p>
      <w:pPr>
        <w:spacing w:line="480" w:lineRule="exact"/>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600" w:lineRule="auto"/>
        <w:ind w:firstLine="5600" w:firstLineChars="20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公司名称：</w:t>
      </w:r>
      <w:r>
        <w:rPr>
          <w:rFonts w:hint="eastAsia" w:ascii="仿宋_GB2312" w:hAnsi="仿宋_GB2312" w:eastAsia="仿宋_GB2312" w:cs="仿宋_GB2312"/>
          <w:sz w:val="28"/>
          <w:szCs w:val="28"/>
          <w:u w:val="single"/>
        </w:rPr>
        <w:t xml:space="preserve">（加盖公章） </w:t>
      </w:r>
    </w:p>
    <w:p>
      <w:pPr>
        <w:spacing w:line="600" w:lineRule="auto"/>
        <w:ind w:firstLine="5600" w:firstLineChars="2000"/>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pPr>
        <w:spacing w:line="560" w:lineRule="exact"/>
        <w:jc w:val="center"/>
        <w:rPr>
          <w:rFonts w:ascii="仿宋_GB2312" w:hAnsi="仿宋_GB2312" w:eastAsia="仿宋_GB2312" w:cs="仿宋_GB2312"/>
          <w:b/>
          <w:sz w:val="28"/>
          <w:szCs w:val="28"/>
        </w:rPr>
      </w:pPr>
    </w:p>
    <w:p>
      <w:pPr>
        <w:spacing w:line="560" w:lineRule="exact"/>
        <w:jc w:val="center"/>
        <w:rPr>
          <w:rFonts w:ascii="仿宋_GB2312" w:hAnsi="仿宋_GB2312" w:eastAsia="仿宋_GB2312" w:cs="仿宋_GB2312"/>
          <w:b/>
          <w:sz w:val="28"/>
          <w:szCs w:val="28"/>
        </w:rPr>
      </w:pPr>
    </w:p>
    <w:p>
      <w:pPr>
        <w:spacing w:line="560" w:lineRule="exact"/>
        <w:rPr>
          <w:rFonts w:ascii="黑体" w:hAnsi="黑体" w:eastAsia="黑体" w:cs="仿宋_GB2312"/>
          <w:b/>
          <w:sz w:val="30"/>
          <w:szCs w:val="30"/>
        </w:rPr>
      </w:pPr>
    </w:p>
    <w:p>
      <w:pPr>
        <w:spacing w:line="560" w:lineRule="exact"/>
        <w:jc w:val="center"/>
        <w:rPr>
          <w:rFonts w:hint="eastAsia" w:ascii="黑体" w:hAnsi="黑体" w:eastAsia="黑体" w:cs="仿宋_GB2312"/>
          <w:b/>
          <w:sz w:val="30"/>
          <w:szCs w:val="30"/>
        </w:rPr>
      </w:pPr>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法定代表人授权委托书</w:t>
      </w: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（授权代表人参加投标的，出具此授权委托书）</w:t>
      </w:r>
    </w:p>
    <w:p>
      <w:pPr>
        <w:spacing w:line="440" w:lineRule="exact"/>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rPr>
          <w:rFonts w:ascii="楷体_GB2312" w:eastAsia="楷体_GB2312"/>
        </w:rPr>
      </w:pPr>
      <w:r>
        <w:rPr>
          <w:rFonts w:hint="eastAsia" w:ascii="楷体_GB2312" w:eastAsia="楷体_GB2312"/>
        </w:rPr>
        <w:t>住所：</w:t>
      </w:r>
    </w:p>
    <w:p>
      <w:pPr>
        <w:spacing w:line="440" w:lineRule="exact"/>
        <w:rPr>
          <w:rFonts w:ascii="楷体_GB2312" w:eastAsia="楷体_GB2312"/>
        </w:rPr>
      </w:pPr>
      <w:r>
        <w:rPr>
          <w:rFonts w:hint="eastAsia" w:ascii="楷体_GB2312" w:eastAsia="楷体_GB2312"/>
        </w:rPr>
        <w:t>法定代表人（或负责人）：</w:t>
      </w:r>
    </w:p>
    <w:p>
      <w:pPr>
        <w:spacing w:line="440" w:lineRule="exact"/>
        <w:rPr>
          <w:rFonts w:ascii="楷体_GB2312" w:eastAsia="楷体_GB2312"/>
        </w:rPr>
      </w:pPr>
      <w:r>
        <w:rPr>
          <w:rFonts w:hint="eastAsia" w:ascii="楷体_GB2312" w:eastAsia="楷体_GB2312"/>
        </w:rPr>
        <w:t>代理人：</w:t>
      </w:r>
      <w:r>
        <w:rPr>
          <w:rFonts w:hint="eastAsia" w:ascii="楷体_GB2312" w:eastAsia="楷体_GB2312"/>
          <w:b/>
        </w:rPr>
        <w:t>XXX</w:t>
      </w:r>
      <w:r>
        <w:rPr>
          <w:rFonts w:hint="eastAsia" w:ascii="楷体_GB2312" w:eastAsia="楷体_GB2312"/>
        </w:rPr>
        <w:t>，男或女， 年 月 日出生，身份证号码：</w:t>
      </w:r>
      <w:r>
        <w:rPr>
          <w:rFonts w:hint="eastAsia" w:ascii="楷体_GB2312" w:eastAsia="楷体_GB2312"/>
          <w:b/>
        </w:rPr>
        <w:t>XXXXXXXXXXXXXX</w:t>
      </w:r>
      <w:r>
        <w:rPr>
          <w:rFonts w:hint="eastAsia" w:ascii="楷体_GB2312" w:eastAsia="楷体_GB2312"/>
        </w:rPr>
        <w:t>,系</w:t>
      </w:r>
      <w:r>
        <w:rPr>
          <w:rFonts w:hint="eastAsia" w:ascii="楷体_GB2312" w:eastAsia="楷体_GB2312"/>
          <w:b/>
        </w:rPr>
        <w:t>XXXXX</w:t>
      </w:r>
      <w:r>
        <w:rPr>
          <w:rFonts w:hint="eastAsia" w:ascii="楷体_GB2312" w:eastAsia="楷体_GB2312"/>
        </w:rPr>
        <w:t>单位职工，现住</w:t>
      </w:r>
      <w:r>
        <w:rPr>
          <w:rFonts w:hint="eastAsia" w:ascii="楷体_GB2312" w:eastAsia="楷体_GB2312"/>
          <w:b/>
        </w:rPr>
        <w:t>XXXXXXX</w:t>
      </w:r>
      <w:r>
        <w:rPr>
          <w:rFonts w:hint="eastAsia" w:ascii="楷体_GB2312" w:eastAsia="楷体_GB2312"/>
        </w:rPr>
        <w:t>.</w:t>
      </w:r>
    </w:p>
    <w:p>
      <w:pPr>
        <w:spacing w:line="440" w:lineRule="exact"/>
        <w:rPr>
          <w:rFonts w:ascii="楷体_GB2312" w:eastAsia="楷体_GB2312"/>
        </w:rPr>
      </w:pPr>
      <w:r>
        <w:rPr>
          <w:rFonts w:hint="eastAsia" w:ascii="楷体_GB2312" w:eastAsia="楷体_GB2312"/>
        </w:rPr>
        <w:t>授权事项：</w:t>
      </w:r>
    </w:p>
    <w:p>
      <w:pPr>
        <w:spacing w:line="440" w:lineRule="exact"/>
        <w:ind w:firstLine="411" w:firstLineChars="196"/>
        <w:rPr>
          <w:rFonts w:ascii="楷体_GB2312" w:eastAsia="楷体_GB2312"/>
        </w:rPr>
      </w:pPr>
      <w:r>
        <w:rPr>
          <w:rFonts w:hint="eastAsia" w:ascii="楷体_GB2312" w:eastAsia="楷体_GB2312"/>
        </w:rPr>
        <w:t>1、委托人委托代理人</w:t>
      </w:r>
      <w:r>
        <w:rPr>
          <w:rFonts w:hint="eastAsia" w:ascii="楷体_GB2312" w:eastAsia="楷体_GB2312"/>
          <w:b/>
        </w:rPr>
        <w:t>XXX</w:t>
      </w:r>
      <w:r>
        <w:rPr>
          <w:rFonts w:hint="eastAsia" w:ascii="楷体_GB2312" w:eastAsia="楷体_GB2312"/>
        </w:rPr>
        <w:t>代表委托人参加</w:t>
      </w:r>
      <w:r>
        <w:rPr>
          <w:rFonts w:hint="eastAsia" w:ascii="楷体_GB2312" w:eastAsia="楷体_GB2312"/>
          <w:b/>
        </w:rPr>
        <w:t>中粮糖业及所属各级单位</w:t>
      </w:r>
      <w:r>
        <w:rPr>
          <w:rFonts w:hint="eastAsia" w:ascii="楷体_GB2312" w:eastAsia="楷体_GB2312"/>
        </w:rPr>
        <w:t>的招标或议标活动，以委托人的名义全权办理招标或议标过程中的投标、报价、议标谈判等一切与招标或议标相关的事宜。</w:t>
      </w:r>
    </w:p>
    <w:p>
      <w:pPr>
        <w:spacing w:line="440" w:lineRule="exact"/>
        <w:ind w:firstLine="411" w:firstLineChars="196"/>
        <w:rPr>
          <w:rFonts w:ascii="楷体_GB2312" w:eastAsia="楷体_GB2312"/>
        </w:rPr>
      </w:pPr>
      <w:r>
        <w:rPr>
          <w:rFonts w:hint="eastAsia" w:ascii="楷体_GB2312" w:eastAsia="楷体_GB2312"/>
        </w:rPr>
        <w:t>2、如果委托人中标，代理人以委托人的名义与</w:t>
      </w:r>
      <w:r>
        <w:rPr>
          <w:rFonts w:hint="eastAsia" w:ascii="楷体_GB2312" w:eastAsia="楷体_GB2312"/>
          <w:b/>
        </w:rPr>
        <w:t>中粮糖业及所属各级单位</w:t>
      </w:r>
      <w:r>
        <w:rPr>
          <w:rFonts w:hint="eastAsia" w:ascii="楷体_GB2312" w:eastAsia="楷体_GB2312"/>
        </w:rPr>
        <w:t>签订合同，并办理合同履行过程中的一切相关事宜。</w:t>
      </w:r>
    </w:p>
    <w:p>
      <w:pPr>
        <w:spacing w:line="440" w:lineRule="exact"/>
        <w:ind w:firstLine="411" w:firstLineChars="196"/>
        <w:rPr>
          <w:rFonts w:ascii="楷体_GB2312" w:eastAsia="楷体_GB2312"/>
        </w:rPr>
      </w:pPr>
      <w:r>
        <w:rPr>
          <w:rFonts w:hint="eastAsia" w:ascii="楷体_GB2312" w:eastAsia="楷体_GB2312"/>
        </w:rPr>
        <w:t>本公司对代理人的上述代理行为均予以认可并承担责任。</w:t>
      </w:r>
    </w:p>
    <w:p>
      <w:pPr>
        <w:spacing w:line="440" w:lineRule="exact"/>
        <w:ind w:right="560"/>
        <w:rPr>
          <w:rFonts w:ascii="楷体_GB2312" w:eastAsia="楷体_GB2312"/>
        </w:rPr>
      </w:pPr>
      <w:r>
        <w:rPr>
          <w:rFonts w:hint="eastAsia" w:ascii="楷体_GB2312" w:eastAsia="楷体_GB2312"/>
        </w:rPr>
        <w:t>授权期限：本授权委托书自授权之日起生效，有效期</w:t>
      </w:r>
      <w:r>
        <w:rPr>
          <w:rFonts w:ascii="楷体_GB2312" w:eastAsia="楷体_GB2312"/>
          <w:u w:val="single"/>
        </w:rPr>
        <w:t xml:space="preserve">  </w:t>
      </w:r>
      <w:r>
        <w:rPr>
          <w:rFonts w:hint="eastAsia" w:ascii="楷体_GB2312" w:eastAsia="楷体_GB2312"/>
        </w:rPr>
        <w:t>年。</w:t>
      </w:r>
    </w:p>
    <w:p>
      <w:pPr>
        <w:spacing w:line="440" w:lineRule="exact"/>
        <w:ind w:right="560"/>
        <w:jc w:val="right"/>
        <w:rPr>
          <w:rFonts w:ascii="楷体_GB2312" w:eastAsia="楷体_GB2312"/>
        </w:rPr>
      </w:pPr>
    </w:p>
    <w:p>
      <w:pPr>
        <w:spacing w:line="440" w:lineRule="exact"/>
        <w:ind w:right="560"/>
        <w:jc w:val="center"/>
        <w:rPr>
          <w:rFonts w:ascii="楷体_GB2312" w:eastAsia="楷体_GB2312"/>
        </w:rPr>
      </w:pPr>
      <w:r>
        <w:rPr>
          <w:rFonts w:hint="eastAsia" w:ascii="楷体_GB2312" w:eastAsia="楷体_GB2312"/>
        </w:rPr>
        <w:t>代理人身份证（正、反面）粘贴处：</w:t>
      </w:r>
    </w:p>
    <w:p>
      <w:pPr>
        <w:spacing w:line="440" w:lineRule="exact"/>
        <w:ind w:right="560"/>
        <w:rPr>
          <w:rFonts w:ascii="楷体_GB2312" w:eastAsia="楷体_GB2312"/>
        </w:rPr>
      </w:pPr>
    </w:p>
    <w:p>
      <w:pPr>
        <w:spacing w:line="440" w:lineRule="exact"/>
        <w:ind w:right="560"/>
        <w:rPr>
          <w:rFonts w:ascii="楷体_GB2312" w:eastAsia="楷体_GB2312"/>
        </w:rPr>
      </w:pPr>
    </w:p>
    <w:p>
      <w:pPr>
        <w:spacing w:line="440" w:lineRule="exact"/>
        <w:ind w:right="560"/>
        <w:jc w:val="center"/>
        <w:rPr>
          <w:rFonts w:ascii="楷体_GB2312" w:eastAsia="楷体_GB2312"/>
        </w:rPr>
      </w:pPr>
    </w:p>
    <w:p>
      <w:pPr>
        <w:spacing w:line="440" w:lineRule="exact"/>
        <w:ind w:right="560"/>
        <w:jc w:val="center"/>
        <w:rPr>
          <w:rFonts w:ascii="楷体_GB2312" w:eastAsia="楷体_GB2312"/>
        </w:rPr>
      </w:pPr>
    </w:p>
    <w:p>
      <w:pPr>
        <w:spacing w:line="440" w:lineRule="exact"/>
        <w:ind w:left="105" w:leftChars="50" w:right="480" w:firstLine="3372" w:firstLineChars="1606"/>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ind w:left="105" w:leftChars="50" w:right="480" w:firstLine="3372" w:firstLineChars="1606"/>
        <w:rPr>
          <w:rFonts w:ascii="楷体_GB2312" w:eastAsia="楷体_GB2312"/>
        </w:rPr>
      </w:pPr>
      <w:r>
        <w:rPr>
          <w:rFonts w:hint="eastAsia" w:ascii="楷体_GB2312" w:eastAsia="楷体_GB2312"/>
        </w:rPr>
        <w:t>法定代表人（或负责人）：</w:t>
      </w:r>
    </w:p>
    <w:p>
      <w:pPr>
        <w:spacing w:line="440" w:lineRule="exact"/>
        <w:ind w:left="105" w:leftChars="50" w:right="26" w:firstLine="3372" w:firstLineChars="1606"/>
        <w:rPr>
          <w:rFonts w:ascii="楷体_GB2312" w:eastAsia="楷体_GB2312"/>
          <w:sz w:val="32"/>
          <w:szCs w:val="32"/>
        </w:rPr>
      </w:pPr>
      <w:r>
        <w:rPr>
          <w:rFonts w:hint="eastAsia" w:ascii="楷体_GB2312" w:eastAsia="楷体_GB2312"/>
        </w:rPr>
        <w:t>委托授权时间：   20</w:t>
      </w:r>
      <w:r>
        <w:rPr>
          <w:rFonts w:ascii="楷体_GB2312" w:eastAsia="楷体_GB2312"/>
        </w:rPr>
        <w:t>22</w:t>
      </w:r>
      <w:r>
        <w:rPr>
          <w:rFonts w:hint="eastAsia" w:ascii="楷体_GB2312" w:eastAsia="楷体_GB2312"/>
        </w:rPr>
        <w:t xml:space="preserve">  年 </w:t>
      </w:r>
      <w:r>
        <w:rPr>
          <w:rFonts w:ascii="楷体_GB2312" w:eastAsia="楷体_GB2312"/>
        </w:rPr>
        <w:t>1</w:t>
      </w:r>
      <w:r>
        <w:rPr>
          <w:rFonts w:hint="eastAsia" w:ascii="楷体_GB2312" w:eastAsia="楷体_GB2312"/>
        </w:rPr>
        <w:t xml:space="preserve"> 月1日</w:t>
      </w:r>
    </w:p>
    <w:p>
      <w:pPr>
        <w:jc w:val="center"/>
        <w:rPr>
          <w:rFonts w:ascii="仿宋_GB2312" w:hAnsi="仿宋_GB2312" w:eastAsia="仿宋_GB2312" w:cs="仿宋_GB2312"/>
          <w:b/>
          <w:sz w:val="28"/>
          <w:szCs w:val="28"/>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r>
        <w:rPr>
          <w:rFonts w:hint="eastAsia" w:ascii="黑体" w:hAnsi="黑体" w:eastAsia="黑体" w:cs="仿宋_GB2312"/>
          <w:b/>
          <w:sz w:val="30"/>
          <w:szCs w:val="30"/>
        </w:rPr>
        <w:t>五、参加采购活动前3年内在经营活动</w:t>
      </w:r>
    </w:p>
    <w:p>
      <w:pPr>
        <w:jc w:val="center"/>
        <w:rPr>
          <w:rFonts w:ascii="黑体" w:hAnsi="黑体" w:eastAsia="黑体" w:cs="仿宋_GB2312"/>
          <w:b/>
          <w:sz w:val="30"/>
          <w:szCs w:val="30"/>
        </w:rPr>
      </w:pPr>
      <w:r>
        <w:rPr>
          <w:rFonts w:hint="eastAsia" w:ascii="黑体" w:hAnsi="黑体" w:eastAsia="黑体" w:cs="仿宋_GB2312"/>
          <w:b/>
          <w:sz w:val="30"/>
          <w:szCs w:val="30"/>
        </w:rPr>
        <w:t>中没有重大违法记录及具有良好信用信息的声明</w:t>
      </w:r>
    </w:p>
    <w:p>
      <w:pPr>
        <w:spacing w:before="120" w:beforeLines="50" w:after="120" w:afterLines="50" w:line="400" w:lineRule="exact"/>
        <w:ind w:right="630" w:rightChars="300"/>
        <w:rPr>
          <w:rFonts w:cs="Lucida Sans Unicode"/>
        </w:rPr>
      </w:pPr>
    </w:p>
    <w:p>
      <w:pPr>
        <w:spacing w:line="520" w:lineRule="exact"/>
        <w:ind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before="120" w:beforeLines="50" w:after="120" w:afterLines="50" w:line="520" w:lineRule="exact"/>
        <w:ind w:right="136" w:rightChars="65"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项目投标文件截止时间前，我单位参加本次采购活动前3年内在经营活动中没有重大违法记录；通过“信用中国”(网站：www.creditchina.gov.cn/)等渠道查询，我单位未被列入失信被执行人、重大税收违法案件当事人名单。</w:t>
      </w:r>
    </w:p>
    <w:p>
      <w:pPr>
        <w:spacing w:before="120" w:beforeLines="50" w:after="120" w:afterLines="50" w:line="520" w:lineRule="exact"/>
        <w:ind w:right="1050" w:rightChars="50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特此声明。</w:t>
      </w: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line="360" w:lineRule="exact"/>
        <w:ind w:left="1050" w:leftChars="500" w:right="1050" w:rightChars="500" w:firstLine="560" w:firstLineChars="200"/>
        <w:rPr>
          <w:rFonts w:ascii="仿宋_GB2312" w:hAnsi="仿宋_GB2312" w:eastAsia="仿宋_GB2312" w:cs="仿宋_GB2312"/>
          <w:sz w:val="28"/>
          <w:szCs w:val="28"/>
        </w:rPr>
      </w:pPr>
    </w:p>
    <w:p>
      <w:pPr>
        <w:spacing w:line="600" w:lineRule="auto"/>
        <w:ind w:right="480" w:firstLine="3360" w:firstLineChars="1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投标人名称：</w:t>
      </w:r>
      <w:r>
        <w:rPr>
          <w:rFonts w:hint="eastAsia" w:ascii="仿宋_GB2312" w:hAnsi="仿宋_GB2312" w:eastAsia="仿宋_GB2312" w:cs="仿宋_GB2312"/>
          <w:sz w:val="28"/>
          <w:szCs w:val="28"/>
          <w:u w:val="single"/>
        </w:rPr>
        <w:t xml:space="preserve">（加盖公章）           </w:t>
      </w:r>
    </w:p>
    <w:p>
      <w:pPr>
        <w:spacing w:line="600" w:lineRule="auto"/>
        <w:ind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600" w:lineRule="auto"/>
        <w:ind w:right="12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jc w:val="center"/>
        <w:rPr>
          <w:rFonts w:ascii="黑体" w:hAnsi="黑体" w:eastAsia="黑体"/>
          <w:b/>
          <w:bCs/>
          <w:sz w:val="30"/>
          <w:szCs w:val="30"/>
        </w:rPr>
      </w:pPr>
      <w:r>
        <w:rPr>
          <w:rFonts w:hint="eastAsia" w:ascii="仿宋_GB2312" w:hAnsi="仿宋_GB2312" w:eastAsia="仿宋_GB2312" w:cs="仿宋_GB2312"/>
          <w:sz w:val="28"/>
          <w:szCs w:val="28"/>
        </w:rPr>
        <w:br w:type="page"/>
      </w:r>
      <w:bookmarkStart w:id="6" w:name="_Toc17297_WPSOffice_Level1"/>
      <w:r>
        <w:rPr>
          <w:rFonts w:hint="eastAsia" w:ascii="黑体" w:hAnsi="黑体" w:eastAsia="黑体" w:cs="仿宋_GB2312"/>
          <w:b/>
          <w:bCs/>
          <w:sz w:val="30"/>
          <w:szCs w:val="30"/>
        </w:rPr>
        <w:t>六、</w:t>
      </w:r>
      <w:r>
        <w:rPr>
          <w:rFonts w:hint="eastAsia" w:ascii="黑体" w:hAnsi="黑体" w:eastAsia="黑体"/>
          <w:b/>
          <w:bCs/>
          <w:sz w:val="30"/>
          <w:szCs w:val="30"/>
        </w:rPr>
        <w:t>谈判响应保证金</w:t>
      </w:r>
    </w:p>
    <w:p>
      <w:pPr>
        <w:pStyle w:val="11"/>
        <w:spacing w:line="500" w:lineRule="exact"/>
        <w:ind w:firstLine="480" w:firstLineChars="200"/>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1"/>
        <w:spacing w:line="300" w:lineRule="auto"/>
        <w:rPr>
          <w:rFonts w:hAnsi="宋体" w:cs="宋体"/>
          <w:b/>
          <w:sz w:val="24"/>
          <w:szCs w:val="24"/>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trPr>
        <w:tc>
          <w:tcPr>
            <w:tcW w:w="8689" w:type="dxa"/>
          </w:tcPr>
          <w:p>
            <w:pPr>
              <w:pStyle w:val="11"/>
              <w:spacing w:line="300" w:lineRule="auto"/>
              <w:rPr>
                <w:rFonts w:hAnsi="宋体" w:cs="宋体"/>
                <w:b/>
                <w:sz w:val="24"/>
                <w:szCs w:val="24"/>
              </w:rPr>
            </w:pPr>
          </w:p>
          <w:p>
            <w:pPr>
              <w:pStyle w:val="11"/>
              <w:spacing w:line="500" w:lineRule="exact"/>
              <w:rPr>
                <w:rFonts w:hAnsi="宋体" w:cs="宋体"/>
                <w:sz w:val="24"/>
                <w:szCs w:val="24"/>
              </w:rPr>
            </w:pPr>
          </w:p>
          <w:p>
            <w:pPr>
              <w:pStyle w:val="11"/>
              <w:spacing w:line="500" w:lineRule="exact"/>
              <w:rPr>
                <w:rFonts w:hAnsi="宋体" w:cs="宋体"/>
                <w:sz w:val="24"/>
                <w:szCs w:val="24"/>
              </w:rPr>
            </w:pPr>
          </w:p>
          <w:p>
            <w:pPr>
              <w:pStyle w:val="11"/>
              <w:spacing w:line="500" w:lineRule="exact"/>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1"/>
              <w:spacing w:line="300" w:lineRule="auto"/>
              <w:rPr>
                <w:rFonts w:hAnsi="宋体" w:cs="宋体"/>
                <w:b/>
                <w:sz w:val="24"/>
                <w:szCs w:val="24"/>
              </w:rPr>
            </w:pPr>
          </w:p>
        </w:tc>
      </w:tr>
    </w:tbl>
    <w:p>
      <w:pPr>
        <w:jc w:val="center"/>
        <w:rPr>
          <w:b/>
          <w:bCs/>
          <w:sz w:val="30"/>
          <w:szCs w:val="30"/>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rPr>
          <w:rFonts w:ascii="黑体" w:hAnsi="黑体" w:eastAsia="黑体" w:cs="仿宋_GB2312"/>
          <w:b/>
          <w:bCs/>
          <w:sz w:val="28"/>
          <w:szCs w:val="28"/>
        </w:rPr>
      </w:pPr>
    </w:p>
    <w:p>
      <w:pPr>
        <w:spacing w:line="560" w:lineRule="exact"/>
        <w:ind w:firstLine="562" w:firstLineChars="200"/>
        <w:jc w:val="center"/>
        <w:rPr>
          <w:rFonts w:ascii="黑体" w:hAnsi="黑体" w:eastAsia="黑体" w:cs="Lucida Sans Unicode"/>
          <w:b/>
          <w:bCs/>
          <w:sz w:val="44"/>
          <w:szCs w:val="44"/>
        </w:rPr>
      </w:pPr>
      <w:r>
        <w:rPr>
          <w:rFonts w:hint="eastAsia" w:ascii="黑体" w:hAnsi="黑体" w:eastAsia="黑体" w:cs="仿宋_GB2312"/>
          <w:b/>
          <w:bCs/>
          <w:sz w:val="28"/>
          <w:szCs w:val="28"/>
        </w:rPr>
        <w:t>八</w:t>
      </w:r>
      <w:r>
        <w:rPr>
          <w:rFonts w:hint="eastAsia" w:ascii="黑体" w:hAnsi="黑体" w:eastAsia="黑体" w:cs="仿宋_GB2312"/>
          <w:b/>
          <w:bCs/>
          <w:sz w:val="28"/>
        </w:rPr>
        <w:t>、投标函</w:t>
      </w:r>
      <w:bookmarkEnd w:id="6"/>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采购单位： </w:t>
      </w:r>
    </w:p>
    <w:p>
      <w:pPr>
        <w:pStyle w:val="20"/>
        <w:widowControl w:val="0"/>
        <w:tabs>
          <w:tab w:val="left" w:pos="0"/>
        </w:tabs>
        <w:adjustRightInd w:val="0"/>
        <w:spacing w:line="360" w:lineRule="auto"/>
        <w:ind w:right="-13" w:rightChars="-6"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供应商名称 </w:t>
      </w:r>
      <w:r>
        <w:rPr>
          <w:rFonts w:hint="eastAsia" w:ascii="仿宋_GB2312" w:hAnsi="仿宋_GB2312" w:eastAsia="仿宋_GB2312" w:cs="仿宋_GB2312"/>
          <w:sz w:val="28"/>
          <w:szCs w:val="28"/>
        </w:rPr>
        <w:t>授权</w:t>
      </w:r>
      <w:r>
        <w:rPr>
          <w:rFonts w:hint="eastAsia" w:ascii="仿宋_GB2312" w:hAnsi="仿宋_GB2312" w:eastAsia="仿宋_GB2312" w:cs="仿宋_GB2312"/>
          <w:sz w:val="28"/>
          <w:szCs w:val="28"/>
          <w:u w:val="single"/>
        </w:rPr>
        <w:t xml:space="preserve"> 供应商代表姓名、职务 </w:t>
      </w:r>
      <w:r>
        <w:rPr>
          <w:rFonts w:hint="eastAsia" w:ascii="仿宋_GB2312" w:hAnsi="仿宋_GB2312" w:eastAsia="仿宋_GB2312" w:cs="仿宋_GB2312"/>
          <w:sz w:val="28"/>
          <w:szCs w:val="28"/>
        </w:rPr>
        <w:t>为我方代表，参加你单位组织的</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采购项目的有关活动，并对此采购项目进行投标。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为此，我方按采购文件规定提供服务的投标报价、投标保证金：（报价单列表可根据实际情况填写）</w:t>
      </w:r>
    </w:p>
    <w:tbl>
      <w:tblPr>
        <w:tblStyle w:val="24"/>
        <w:tblW w:w="10176" w:type="dxa"/>
        <w:tblInd w:w="-977" w:type="dxa"/>
        <w:tblLayout w:type="fixed"/>
        <w:tblCellMar>
          <w:top w:w="0" w:type="dxa"/>
          <w:left w:w="108" w:type="dxa"/>
          <w:bottom w:w="0" w:type="dxa"/>
          <w:right w:w="108" w:type="dxa"/>
        </w:tblCellMar>
      </w:tblPr>
      <w:tblGrid>
        <w:gridCol w:w="820"/>
        <w:gridCol w:w="2977"/>
        <w:gridCol w:w="1276"/>
        <w:gridCol w:w="1418"/>
        <w:gridCol w:w="1417"/>
        <w:gridCol w:w="1276"/>
        <w:gridCol w:w="992"/>
      </w:tblGrid>
      <w:tr>
        <w:tblPrEx>
          <w:tblCellMar>
            <w:top w:w="0" w:type="dxa"/>
            <w:left w:w="108" w:type="dxa"/>
            <w:bottom w:w="0" w:type="dxa"/>
            <w:right w:w="108" w:type="dxa"/>
          </w:tblCellMar>
        </w:tblPrEx>
        <w:trPr>
          <w:trHeight w:val="880" w:hRule="atLeast"/>
        </w:trPr>
        <w:tc>
          <w:tcPr>
            <w:tcW w:w="820" w:type="dxa"/>
            <w:tcBorders>
              <w:top w:val="double" w:color="000000" w:sz="4" w:space="0"/>
              <w:left w:val="double" w:color="000000" w:sz="4" w:space="0"/>
              <w:right w:val="single" w:color="000000" w:sz="4" w:space="0"/>
            </w:tcBorders>
          </w:tcPr>
          <w:p>
            <w:pPr>
              <w:pStyle w:val="60"/>
              <w:spacing w:line="440" w:lineRule="exact"/>
              <w:jc w:val="center"/>
              <w:rPr>
                <w:rFonts w:ascii="仿宋_GB2312" w:hAnsi="仿宋_GB2312" w:eastAsia="仿宋_GB2312" w:cs="仿宋_GB2312"/>
                <w:b/>
                <w:sz w:val="28"/>
                <w:szCs w:val="28"/>
              </w:rPr>
            </w:pPr>
          </w:p>
        </w:tc>
        <w:tc>
          <w:tcPr>
            <w:tcW w:w="2977" w:type="dxa"/>
            <w:vMerge w:val="restart"/>
            <w:tcBorders>
              <w:top w:val="double" w:color="000000" w:sz="4" w:space="0"/>
              <w:left w:val="double" w:color="000000" w:sz="4" w:space="0"/>
              <w:right w:val="single" w:color="000000" w:sz="4" w:space="0"/>
            </w:tcBorders>
            <w:vAlign w:val="center"/>
          </w:tcPr>
          <w:p>
            <w:pPr>
              <w:pStyle w:val="60"/>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项目特征</w:t>
            </w:r>
          </w:p>
        </w:tc>
        <w:tc>
          <w:tcPr>
            <w:tcW w:w="1276" w:type="dxa"/>
            <w:tcBorders>
              <w:top w:val="double" w:color="000000" w:sz="4" w:space="0"/>
              <w:left w:val="single" w:color="000000" w:sz="4" w:space="0"/>
              <w:right w:val="single" w:color="000000" w:sz="4" w:space="0"/>
            </w:tcBorders>
          </w:tcPr>
          <w:p>
            <w:pPr>
              <w:pStyle w:val="60"/>
              <w:spacing w:line="440" w:lineRule="exact"/>
              <w:jc w:val="center"/>
              <w:rPr>
                <w:rFonts w:ascii="仿宋_GB2312" w:hAnsi="仿宋_GB2312" w:eastAsia="仿宋_GB2312" w:cs="仿宋_GB2312"/>
                <w:b/>
                <w:kern w:val="0"/>
                <w:sz w:val="28"/>
                <w:szCs w:val="28"/>
              </w:rPr>
            </w:pPr>
          </w:p>
        </w:tc>
        <w:tc>
          <w:tcPr>
            <w:tcW w:w="2835" w:type="dxa"/>
            <w:gridSpan w:val="2"/>
            <w:tcBorders>
              <w:top w:val="double" w:color="000000" w:sz="4" w:space="0"/>
              <w:left w:val="single" w:color="000000" w:sz="4" w:space="0"/>
              <w:bottom w:val="single" w:color="000000" w:sz="6" w:space="0"/>
              <w:right w:val="single" w:color="000000" w:sz="6" w:space="0"/>
            </w:tcBorders>
            <w:vAlign w:val="center"/>
          </w:tcPr>
          <w:p>
            <w:pPr>
              <w:pStyle w:val="60"/>
              <w:spacing w:line="440" w:lineRule="exact"/>
              <w:jc w:val="center"/>
              <w:rPr>
                <w:rFonts w:ascii="仿宋_GB2312" w:hAnsi="仿宋_GB2312" w:eastAsia="仿宋_GB2312" w:cs="仿宋_GB2312"/>
                <w:b/>
                <w:sz w:val="28"/>
                <w:szCs w:val="28"/>
              </w:rPr>
            </w:pPr>
            <w:r>
              <w:rPr>
                <w:rFonts w:ascii="仿宋_GB2312" w:hAnsi="仿宋_GB2312" w:eastAsia="仿宋_GB2312" w:cs="仿宋_GB2312"/>
                <w:b/>
                <w:kern w:val="0"/>
                <w:sz w:val="28"/>
                <w:szCs w:val="28"/>
              </w:rPr>
              <w:t>投标报价（元）</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60"/>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期</w:t>
            </w:r>
            <w:r>
              <w:rPr>
                <w:rFonts w:hint="eastAsia" w:ascii="仿宋_GB2312" w:hAnsi="仿宋_GB2312" w:eastAsia="仿宋_GB2312" w:cs="仿宋_GB2312"/>
                <w:b/>
                <w:sz w:val="28"/>
                <w:szCs w:val="28"/>
              </w:rPr>
              <w:t>限</w:t>
            </w: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60"/>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备注</w:t>
            </w:r>
          </w:p>
        </w:tc>
      </w:tr>
      <w:tr>
        <w:tblPrEx>
          <w:tblCellMar>
            <w:top w:w="0" w:type="dxa"/>
            <w:left w:w="108" w:type="dxa"/>
            <w:bottom w:w="0" w:type="dxa"/>
            <w:right w:w="108" w:type="dxa"/>
          </w:tblCellMar>
        </w:tblPrEx>
        <w:trPr>
          <w:trHeight w:val="880" w:hRule="atLeast"/>
        </w:trPr>
        <w:tc>
          <w:tcPr>
            <w:tcW w:w="820" w:type="dxa"/>
            <w:tcBorders>
              <w:left w:val="double" w:color="000000" w:sz="4" w:space="0"/>
              <w:bottom w:val="single" w:color="000000" w:sz="6" w:space="0"/>
              <w:right w:val="single" w:color="000000" w:sz="4" w:space="0"/>
            </w:tcBorders>
          </w:tcPr>
          <w:p>
            <w:pPr>
              <w:pStyle w:val="60"/>
              <w:spacing w:line="440" w:lineRule="exact"/>
              <w:jc w:val="center"/>
              <w:rPr>
                <w:rFonts w:cs="仿宋_GB2312" w:asciiTheme="minorEastAsia" w:hAnsiTheme="minorEastAsia"/>
                <w:b/>
                <w:sz w:val="22"/>
                <w:szCs w:val="22"/>
              </w:rPr>
            </w:pPr>
            <w:r>
              <w:rPr>
                <w:rFonts w:hint="eastAsia" w:cs="仿宋_GB2312" w:asciiTheme="minorEastAsia" w:hAnsiTheme="minorEastAsia"/>
                <w:b/>
                <w:sz w:val="22"/>
                <w:szCs w:val="22"/>
              </w:rPr>
              <w:t>项目名称</w:t>
            </w:r>
          </w:p>
        </w:tc>
        <w:tc>
          <w:tcPr>
            <w:tcW w:w="2977" w:type="dxa"/>
            <w:vMerge w:val="continue"/>
            <w:tcBorders>
              <w:left w:val="double" w:color="000000" w:sz="4" w:space="0"/>
              <w:bottom w:val="single" w:color="000000" w:sz="6" w:space="0"/>
              <w:right w:val="single" w:color="000000" w:sz="4" w:space="0"/>
            </w:tcBorders>
            <w:vAlign w:val="center"/>
          </w:tcPr>
          <w:p>
            <w:pPr>
              <w:pStyle w:val="60"/>
              <w:spacing w:line="440" w:lineRule="exact"/>
              <w:jc w:val="center"/>
              <w:rPr>
                <w:rFonts w:cs="仿宋_GB2312" w:asciiTheme="minorEastAsia" w:hAnsiTheme="minorEastAsia"/>
                <w:b/>
                <w:sz w:val="22"/>
                <w:szCs w:val="22"/>
              </w:rPr>
            </w:pPr>
          </w:p>
        </w:tc>
        <w:tc>
          <w:tcPr>
            <w:tcW w:w="1276" w:type="dxa"/>
            <w:tcBorders>
              <w:left w:val="single" w:color="000000" w:sz="4" w:space="0"/>
              <w:bottom w:val="single" w:color="000000" w:sz="6" w:space="0"/>
              <w:right w:val="single" w:color="000000" w:sz="4" w:space="0"/>
            </w:tcBorders>
          </w:tcPr>
          <w:p>
            <w:pPr>
              <w:pStyle w:val="60"/>
              <w:spacing w:line="440" w:lineRule="exact"/>
              <w:jc w:val="center"/>
              <w:rPr>
                <w:rFonts w:cs="仿宋_GB2312" w:asciiTheme="majorEastAsia" w:hAnsiTheme="majorEastAsia" w:eastAsiaTheme="majorEastAsia"/>
              </w:rPr>
            </w:pPr>
            <w:r>
              <w:rPr>
                <w:rFonts w:hint="eastAsia" w:cs="仿宋_GB2312" w:asciiTheme="majorEastAsia" w:hAnsiTheme="majorEastAsia" w:eastAsiaTheme="majorEastAsia"/>
              </w:rPr>
              <w:t>税率</w:t>
            </w:r>
          </w:p>
        </w:tc>
        <w:tc>
          <w:tcPr>
            <w:tcW w:w="1418" w:type="dxa"/>
            <w:tcBorders>
              <w:top w:val="double" w:color="000000" w:sz="4" w:space="0"/>
              <w:left w:val="single" w:color="000000" w:sz="4" w:space="0"/>
              <w:bottom w:val="single" w:color="000000" w:sz="6" w:space="0"/>
              <w:right w:val="single" w:color="000000" w:sz="6" w:space="0"/>
            </w:tcBorders>
            <w:vAlign w:val="center"/>
          </w:tcPr>
          <w:p>
            <w:pPr>
              <w:pStyle w:val="60"/>
              <w:spacing w:line="440" w:lineRule="exact"/>
              <w:jc w:val="center"/>
              <w:rPr>
                <w:rFonts w:cs="仿宋_GB2312" w:asciiTheme="majorEastAsia" w:hAnsiTheme="majorEastAsia" w:eastAsiaTheme="majorEastAsia"/>
                <w:b/>
                <w:kern w:val="0"/>
                <w:sz w:val="22"/>
                <w:szCs w:val="22"/>
              </w:rPr>
            </w:pPr>
            <w:r>
              <w:rPr>
                <w:rFonts w:hint="eastAsia" w:cs="仿宋_GB2312" w:asciiTheme="majorEastAsia" w:hAnsiTheme="majorEastAsia" w:eastAsiaTheme="majorEastAsia"/>
              </w:rPr>
              <w:t>小写（含税）</w:t>
            </w:r>
          </w:p>
        </w:tc>
        <w:tc>
          <w:tcPr>
            <w:tcW w:w="1417" w:type="dxa"/>
            <w:tcBorders>
              <w:top w:val="double" w:color="000000" w:sz="4" w:space="0"/>
              <w:left w:val="single" w:color="000000" w:sz="6" w:space="0"/>
              <w:bottom w:val="single" w:color="000000" w:sz="6" w:space="0"/>
              <w:right w:val="single" w:color="000000" w:sz="6" w:space="0"/>
            </w:tcBorders>
            <w:vAlign w:val="center"/>
          </w:tcPr>
          <w:p>
            <w:pPr>
              <w:pStyle w:val="60"/>
              <w:spacing w:line="440" w:lineRule="exact"/>
              <w:jc w:val="center"/>
              <w:rPr>
                <w:rFonts w:cs="仿宋_GB2312" w:asciiTheme="majorEastAsia" w:hAnsiTheme="majorEastAsia" w:eastAsiaTheme="majorEastAsia"/>
                <w:b/>
                <w:sz w:val="22"/>
                <w:szCs w:val="22"/>
              </w:rPr>
            </w:pPr>
            <w:r>
              <w:rPr>
                <w:rFonts w:hint="eastAsia" w:cs="仿宋_GB2312" w:asciiTheme="majorEastAsia" w:hAnsiTheme="majorEastAsia" w:eastAsiaTheme="majorEastAsia"/>
              </w:rPr>
              <w:t>大写（含税）</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60"/>
              <w:spacing w:line="440" w:lineRule="exact"/>
              <w:jc w:val="center"/>
              <w:rPr>
                <w:rFonts w:cs="仿宋_GB2312" w:asciiTheme="minorEastAsia" w:hAnsiTheme="minorEastAsia"/>
                <w:b/>
                <w:sz w:val="22"/>
                <w:szCs w:val="22"/>
              </w:rPr>
            </w:pP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60"/>
              <w:spacing w:line="440" w:lineRule="exact"/>
              <w:jc w:val="center"/>
              <w:rPr>
                <w:rFonts w:cs="仿宋_GB2312" w:asciiTheme="minorEastAsia" w:hAnsiTheme="minorEastAsia"/>
                <w:b/>
                <w:sz w:val="22"/>
                <w:szCs w:val="22"/>
              </w:rPr>
            </w:pPr>
          </w:p>
        </w:tc>
      </w:tr>
      <w:tr>
        <w:tblPrEx>
          <w:tblCellMar>
            <w:top w:w="0" w:type="dxa"/>
            <w:left w:w="108" w:type="dxa"/>
            <w:bottom w:w="0" w:type="dxa"/>
            <w:right w:w="108" w:type="dxa"/>
          </w:tblCellMar>
        </w:tblPrEx>
        <w:trPr>
          <w:trHeight w:val="880" w:hRule="atLeast"/>
        </w:trPr>
        <w:tc>
          <w:tcPr>
            <w:tcW w:w="820" w:type="dxa"/>
            <w:tcBorders>
              <w:top w:val="single" w:color="000000" w:sz="6" w:space="0"/>
              <w:left w:val="double" w:color="000000" w:sz="4" w:space="0"/>
              <w:bottom w:val="single" w:color="000000" w:sz="6" w:space="0"/>
              <w:right w:val="single" w:color="000000" w:sz="4" w:space="0"/>
            </w:tcBorders>
          </w:tcPr>
          <w:p>
            <w:pPr>
              <w:pStyle w:val="60"/>
              <w:spacing w:line="440" w:lineRule="exact"/>
              <w:jc w:val="center"/>
              <w:rPr>
                <w:rFonts w:cs="仿宋_GB2312" w:asciiTheme="minorEastAsia" w:hAnsiTheme="minorEastAsia"/>
                <w:sz w:val="22"/>
                <w:szCs w:val="22"/>
              </w:rPr>
            </w:pPr>
          </w:p>
        </w:tc>
        <w:tc>
          <w:tcPr>
            <w:tcW w:w="2977" w:type="dxa"/>
            <w:tcBorders>
              <w:top w:val="single" w:color="000000" w:sz="6" w:space="0"/>
              <w:left w:val="double" w:color="000000" w:sz="4" w:space="0"/>
              <w:bottom w:val="single" w:color="000000" w:sz="6" w:space="0"/>
              <w:right w:val="single" w:color="000000" w:sz="4" w:space="0"/>
            </w:tcBorders>
            <w:vAlign w:val="center"/>
          </w:tcPr>
          <w:p>
            <w:pPr>
              <w:pStyle w:val="60"/>
              <w:spacing w:line="440" w:lineRule="exact"/>
              <w:jc w:val="center"/>
              <w:rPr>
                <w:rFonts w:asciiTheme="minorEastAsia" w:hAnsiTheme="minorEastAsia"/>
                <w:sz w:val="22"/>
                <w:szCs w:val="22"/>
              </w:rPr>
            </w:pPr>
          </w:p>
        </w:tc>
        <w:tc>
          <w:tcPr>
            <w:tcW w:w="1276" w:type="dxa"/>
            <w:tcBorders>
              <w:top w:val="single" w:color="000000" w:sz="6" w:space="0"/>
              <w:left w:val="single" w:color="000000" w:sz="4" w:space="0"/>
              <w:bottom w:val="single" w:color="000000" w:sz="6" w:space="0"/>
              <w:right w:val="single" w:color="000000" w:sz="4" w:space="0"/>
            </w:tcBorders>
          </w:tcPr>
          <w:p>
            <w:pPr>
              <w:pStyle w:val="60"/>
              <w:snapToGrid w:val="0"/>
              <w:jc w:val="center"/>
              <w:rPr>
                <w:rFonts w:cs="仿宋_GB2312" w:asciiTheme="minorEastAsia" w:hAnsiTheme="minorEastAsia"/>
                <w:kern w:val="0"/>
                <w:sz w:val="22"/>
                <w:szCs w:val="22"/>
              </w:rPr>
            </w:pPr>
          </w:p>
        </w:tc>
        <w:tc>
          <w:tcPr>
            <w:tcW w:w="1418" w:type="dxa"/>
            <w:tcBorders>
              <w:top w:val="single" w:color="000000" w:sz="6" w:space="0"/>
              <w:left w:val="single" w:color="000000" w:sz="4" w:space="0"/>
              <w:bottom w:val="single" w:color="000000" w:sz="6" w:space="0"/>
              <w:right w:val="single" w:color="000000" w:sz="6" w:space="0"/>
            </w:tcBorders>
            <w:vAlign w:val="center"/>
          </w:tcPr>
          <w:p>
            <w:pPr>
              <w:pStyle w:val="60"/>
              <w:snapToGrid w:val="0"/>
              <w:jc w:val="center"/>
              <w:rPr>
                <w:rFonts w:cs="仿宋_GB2312" w:asciiTheme="minorEastAsia" w:hAnsiTheme="minorEastAsia"/>
                <w:kern w:val="0"/>
                <w:sz w:val="22"/>
                <w:szCs w:val="22"/>
              </w:rPr>
            </w:pPr>
          </w:p>
        </w:tc>
        <w:tc>
          <w:tcPr>
            <w:tcW w:w="1417" w:type="dxa"/>
            <w:tcBorders>
              <w:top w:val="single" w:color="000000" w:sz="6" w:space="0"/>
              <w:left w:val="single" w:color="000000" w:sz="6" w:space="0"/>
              <w:bottom w:val="single" w:color="000000" w:sz="6" w:space="0"/>
              <w:right w:val="single" w:color="000000" w:sz="6" w:space="0"/>
            </w:tcBorders>
          </w:tcPr>
          <w:p>
            <w:pPr>
              <w:pStyle w:val="60"/>
              <w:spacing w:line="440" w:lineRule="exact"/>
              <w:jc w:val="center"/>
              <w:rPr>
                <w:rFonts w:cs="仿宋_GB2312" w:asciiTheme="minorEastAsia" w:hAnsiTheme="minorEastAsia"/>
                <w:sz w:val="22"/>
                <w:szCs w:val="22"/>
              </w:rPr>
            </w:pPr>
          </w:p>
        </w:tc>
        <w:tc>
          <w:tcPr>
            <w:tcW w:w="1276" w:type="dxa"/>
            <w:tcBorders>
              <w:top w:val="single" w:color="000000" w:sz="6" w:space="0"/>
              <w:left w:val="single" w:color="000000" w:sz="6" w:space="0"/>
              <w:bottom w:val="single" w:color="000000" w:sz="6" w:space="0"/>
              <w:right w:val="single" w:color="000000" w:sz="4" w:space="0"/>
            </w:tcBorders>
            <w:vAlign w:val="center"/>
          </w:tcPr>
          <w:p>
            <w:pPr>
              <w:pStyle w:val="60"/>
              <w:spacing w:line="440" w:lineRule="exact"/>
              <w:jc w:val="center"/>
              <w:rPr>
                <w:rFonts w:cs="仿宋_GB2312" w:asciiTheme="minorEastAsia" w:hAnsiTheme="minorEastAsia"/>
                <w:sz w:val="22"/>
                <w:szCs w:val="22"/>
              </w:rPr>
            </w:pPr>
          </w:p>
        </w:tc>
        <w:tc>
          <w:tcPr>
            <w:tcW w:w="992" w:type="dxa"/>
            <w:tcBorders>
              <w:top w:val="single" w:color="000000" w:sz="6" w:space="0"/>
              <w:left w:val="single" w:color="000000" w:sz="4" w:space="0"/>
              <w:bottom w:val="single" w:color="000000" w:sz="6" w:space="0"/>
              <w:right w:val="double" w:color="000000" w:sz="4" w:space="0"/>
            </w:tcBorders>
            <w:vAlign w:val="center"/>
          </w:tcPr>
          <w:p>
            <w:pPr>
              <w:pStyle w:val="60"/>
              <w:snapToGrid w:val="0"/>
              <w:spacing w:line="440" w:lineRule="exact"/>
              <w:jc w:val="center"/>
              <w:rPr>
                <w:rFonts w:cs="仿宋_GB2312" w:asciiTheme="minorEastAsia" w:hAnsiTheme="minorEastAsia"/>
                <w:sz w:val="22"/>
                <w:szCs w:val="22"/>
              </w:rPr>
            </w:pPr>
          </w:p>
        </w:tc>
      </w:tr>
    </w:tbl>
    <w:p>
      <w:pPr>
        <w:pStyle w:val="60"/>
        <w:spacing w:line="360" w:lineRule="exact"/>
        <w:rPr>
          <w:rFonts w:ascii="仿宋_GB2312" w:hAnsi="仿宋_GB2312" w:eastAsia="仿宋_GB2312" w:cs="仿宋_GB2312"/>
          <w:b/>
          <w:sz w:val="28"/>
          <w:szCs w:val="28"/>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一、我方同意在采购文件中规定的开标日起90天内遵守本投标文件中的承诺且在此期限期满之前均具有约束力。</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二、我方保证遵守采购文件的规定，如果本公司违反采购文件要求，我方的投标保证金可以被你单位没收。如果开标后在规定的投标有效期内撤回投标，我方的投标保证金可以被你单位没收。</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三、我方承诺已经具备采购文件中规定的供应商应当具备的条件。我方愿意向你单位提供任何与本采购项目投标有关的数据、情况和技术资料，并根据需要提供一切承诺的证明材料，并保证其真实、合法、有效。</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四、我方保证尊重评标委员会的评标结果，完全理解本采购项目不一定接受最低报价的投标。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五、我方承诺接受采购文件中采购合同条款的全部条款且无任何异议。如果我方成交，我们将按采购文件的规定，保证忠实地履行双方所签订的采购合同，并承担采购合同规定的责任和义务。</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我方若有下列情形之一的，接受你单位及相关监督管理部门对我方施以采购金额5‰以上10‰以下的违约处罚，列入不良行为记录名单，在1至3年内禁止参加采购单位组织的采购活动；有违法所得的，提请政府有关行政部门没收违法所得；情节严重的，提请工商行政管理机关吊销营业执照；构成犯罪的，提请司法部门依法追究刑事责任：</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（1）提供虚假材料谋取成交的；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（2）采取不正当手段诋毁、排挤其它投标人的；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（3）与采购单位、其它投标人恶意串通的；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（4）向采购单位行贿或者提供其它不正当利益的；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pPr>
        <w:spacing w:line="400" w:lineRule="exact"/>
        <w:rPr>
          <w:rFonts w:ascii="仿宋_GB2312" w:hAnsi="仿宋_GB2312" w:eastAsia="仿宋_GB2312" w:cs="仿宋_GB2312"/>
          <w:sz w:val="28"/>
          <w:szCs w:val="28"/>
        </w:rPr>
      </w:pPr>
    </w:p>
    <w:p>
      <w:pPr>
        <w:spacing w:line="600" w:lineRule="auto"/>
        <w:ind w:right="480" w:firstLine="560" w:firstLineChars="200"/>
        <w:jc w:val="center"/>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投标人名称：</w:t>
      </w:r>
      <w:r>
        <w:rPr>
          <w:rFonts w:hint="eastAsia" w:ascii="仿宋_GB2312" w:hAnsi="仿宋_GB2312" w:eastAsia="仿宋_GB2312" w:cs="仿宋_GB2312"/>
          <w:sz w:val="28"/>
          <w:szCs w:val="28"/>
          <w:u w:val="single"/>
        </w:rPr>
        <w:t xml:space="preserve">（加盖公章）           </w:t>
      </w:r>
    </w:p>
    <w:p>
      <w:pPr>
        <w:spacing w:line="600" w:lineRule="auto"/>
        <w:ind w:right="36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jc w:val="center"/>
        <w:rPr>
          <w:rFonts w:ascii="Arial Unicode MS" w:hAnsi="仿宋_GB2312" w:eastAsia="Arial Unicode MS" w:cs="仿宋_GB2312"/>
          <w:b/>
          <w:bCs/>
          <w:sz w:val="28"/>
          <w:szCs w:val="28"/>
          <w:u w:val="single"/>
        </w:rPr>
      </w:pPr>
      <w:r>
        <w:rPr>
          <w:rFonts w:hint="eastAsia" w:ascii="Arial Unicode MS" w:hAnsi="仿宋_GB2312" w:eastAsia="Arial Unicode MS" w:cs="仿宋_GB2312"/>
          <w:b/>
          <w:bCs/>
          <w:sz w:val="28"/>
          <w:szCs w:val="28"/>
        </w:rPr>
        <w:t>九</w:t>
      </w:r>
      <w:r>
        <w:rPr>
          <w:rFonts w:hint="eastAsia" w:ascii="Arial Unicode MS" w:hAnsi="仿宋_GB2312" w:eastAsia="Arial Unicode MS" w:cs="仿宋_GB2312"/>
          <w:b/>
          <w:bCs/>
          <w:sz w:val="28"/>
          <w:szCs w:val="28"/>
          <w:u w:val="single"/>
        </w:rPr>
        <w:t>、响应方案（请参照谈判文件中评审方法）</w:t>
      </w:r>
      <w:bookmarkEnd w:id="2"/>
      <w:bookmarkEnd w:id="3"/>
    </w:p>
    <w:sectPr>
      <w:footerReference r:id="rId5" w:type="first"/>
      <w:footerReference r:id="rId4" w:type="default"/>
      <w:pgSz w:w="11906" w:h="16839"/>
      <w:pgMar w:top="1431" w:right="1785" w:bottom="1151"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CEE05D-79D0-4CD5-93F1-559EEEB95C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B364C40-E750-4D9B-B37A-00B6DF5C71B1}"/>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全真簡中楷">
    <w:altName w:val="楷体_GB2312"/>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楷体_GB2312">
    <w:panose1 w:val="02010609030101010101"/>
    <w:charset w:val="86"/>
    <w:family w:val="modern"/>
    <w:pitch w:val="default"/>
    <w:sig w:usb0="00000001" w:usb1="080E0000" w:usb2="00000000" w:usb3="00000000" w:csb0="00040000" w:csb1="00000000"/>
    <w:embedRegular r:id="rId3" w:fontKey="{7E613D1B-EAE0-4CC1-A91C-E3D8AF4DE779}"/>
  </w:font>
  <w:font w:name="Arial Unicode MS">
    <w:panose1 w:val="020B0604020202020204"/>
    <w:charset w:val="86"/>
    <w:family w:val="auto"/>
    <w:pitch w:val="default"/>
    <w:sig w:usb0="FFFFFFFF" w:usb1="E9FFFFFF" w:usb2="0000003F" w:usb3="00000000" w:csb0="603F01FF" w:csb1="FFFF0000"/>
    <w:embedRegular r:id="rId4" w:fontKey="{28DE8189-6087-4CF9-BF90-8A2E571CEF71}"/>
  </w:font>
  <w:font w:name="仿宋_GB2312">
    <w:panose1 w:val="02010609030101010101"/>
    <w:charset w:val="86"/>
    <w:family w:val="modern"/>
    <w:pitch w:val="default"/>
    <w:sig w:usb0="00000001" w:usb1="080E0000" w:usb2="00000000" w:usb3="00000000" w:csb0="00040000" w:csb1="00000000"/>
    <w:embedRegular r:id="rId5" w:fontKey="{847E794F-EB57-4DD3-9170-CCC645A6B33F}"/>
  </w:font>
  <w:font w:name="Lucida Sans Unicode">
    <w:panose1 w:val="020B0602030504020204"/>
    <w:charset w:val="00"/>
    <w:family w:val="swiss"/>
    <w:pitch w:val="default"/>
    <w:sig w:usb0="80001AFF" w:usb1="0000396B" w:usb2="00000000" w:usb3="00000000" w:csb0="200000BF" w:csb1="D7F70000"/>
    <w:embedRegular r:id="rId6" w:fontKey="{E0799E3C-D42F-4653-869E-020EAA919746}"/>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862377"/>
    </w:sdtPr>
    <w:sdtContent>
      <w:p>
        <w:pPr>
          <w:pStyle w:val="14"/>
          <w:jc w:val="center"/>
        </w:pPr>
        <w:r>
          <w:fldChar w:fldCharType="begin"/>
        </w:r>
        <w:r>
          <w:instrText xml:space="preserve">PAGE   \* MERGEFORMAT</w:instrText>
        </w:r>
        <w:r>
          <w:fldChar w:fldCharType="separate"/>
        </w:r>
        <w:r>
          <w:rPr>
            <w:lang w:val="zh-CN"/>
          </w:rPr>
          <w:t>1</w:t>
        </w:r>
        <w: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2483006"/>
    </w:sdtPr>
    <w:sdtContent>
      <w:p>
        <w:pPr>
          <w:pStyle w:val="14"/>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3156BD"/>
    <w:multiLevelType w:val="singleLevel"/>
    <w:tmpl w:val="A03156BD"/>
    <w:lvl w:ilvl="0" w:tentative="0">
      <w:start w:val="1"/>
      <w:numFmt w:val="decimal"/>
      <w:suff w:val="space"/>
      <w:lvlText w:val="%1."/>
      <w:lvlJc w:val="left"/>
    </w:lvl>
  </w:abstractNum>
  <w:abstractNum w:abstractNumId="1">
    <w:nsid w:val="AE33722C"/>
    <w:multiLevelType w:val="singleLevel"/>
    <w:tmpl w:val="AE33722C"/>
    <w:lvl w:ilvl="0" w:tentative="0">
      <w:start w:val="6"/>
      <w:numFmt w:val="decimal"/>
      <w:suff w:val="space"/>
      <w:lvlText w:val="%1."/>
      <w:lvlJc w:val="left"/>
    </w:lvl>
  </w:abstractNum>
  <w:abstractNum w:abstractNumId="2">
    <w:nsid w:val="CE954863"/>
    <w:multiLevelType w:val="singleLevel"/>
    <w:tmpl w:val="CE954863"/>
    <w:lvl w:ilvl="0" w:tentative="0">
      <w:start w:val="8"/>
      <w:numFmt w:val="decimal"/>
      <w:suff w:val="space"/>
      <w:lvlText w:val="%1."/>
      <w:lvlJc w:val="left"/>
    </w:lvl>
  </w:abstractNum>
  <w:abstractNum w:abstractNumId="3">
    <w:nsid w:val="07EE2F53"/>
    <w:multiLevelType w:val="singleLevel"/>
    <w:tmpl w:val="07EE2F53"/>
    <w:lvl w:ilvl="0" w:tentative="0">
      <w:start w:val="1"/>
      <w:numFmt w:val="decimal"/>
      <w:lvlText w:val="%1."/>
      <w:lvlJc w:val="left"/>
      <w:pPr>
        <w:tabs>
          <w:tab w:val="left" w:pos="312"/>
        </w:tabs>
      </w:pPr>
    </w:lvl>
  </w:abstractNum>
  <w:abstractNum w:abstractNumId="4">
    <w:nsid w:val="0E59EE51"/>
    <w:multiLevelType w:val="singleLevel"/>
    <w:tmpl w:val="0E59EE51"/>
    <w:lvl w:ilvl="0" w:tentative="0">
      <w:start w:val="1"/>
      <w:numFmt w:val="decimal"/>
      <w:suff w:val="space"/>
      <w:lvlText w:val="%1."/>
      <w:lvlJc w:val="left"/>
    </w:lvl>
  </w:abstractNum>
  <w:abstractNum w:abstractNumId="5">
    <w:nsid w:val="1DA16889"/>
    <w:multiLevelType w:val="multilevel"/>
    <w:tmpl w:val="1DA16889"/>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F7A41FB"/>
    <w:multiLevelType w:val="singleLevel"/>
    <w:tmpl w:val="1F7A41FB"/>
    <w:lvl w:ilvl="0" w:tentative="0">
      <w:start w:val="1"/>
      <w:numFmt w:val="decimal"/>
      <w:lvlText w:val="（%1）"/>
      <w:lvlJc w:val="left"/>
      <w:pPr>
        <w:tabs>
          <w:tab w:val="left" w:pos="600"/>
        </w:tabs>
        <w:ind w:left="600" w:hanging="600"/>
      </w:pPr>
      <w:rPr>
        <w:rFonts w:hint="eastAsia"/>
        <w:lang w:val="en-US"/>
      </w:rPr>
    </w:lvl>
  </w:abstractNum>
  <w:abstractNum w:abstractNumId="7">
    <w:nsid w:val="212545A6"/>
    <w:multiLevelType w:val="multilevel"/>
    <w:tmpl w:val="212545A6"/>
    <w:lvl w:ilvl="0" w:tentative="0">
      <w:start w:val="1"/>
      <w:numFmt w:val="japaneseCounting"/>
      <w:lvlText w:val="第%1章"/>
      <w:lvlJc w:val="left"/>
      <w:pPr>
        <w:ind w:left="1260" w:hanging="12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5E75406"/>
    <w:multiLevelType w:val="singleLevel"/>
    <w:tmpl w:val="25E75406"/>
    <w:lvl w:ilvl="0" w:tentative="0">
      <w:start w:val="1"/>
      <w:numFmt w:val="japaneseCounting"/>
      <w:lvlText w:val="第%1条"/>
      <w:lvlJc w:val="left"/>
      <w:pPr>
        <w:tabs>
          <w:tab w:val="left" w:pos="1080"/>
        </w:tabs>
        <w:ind w:left="1080" w:hanging="1080"/>
      </w:pPr>
      <w:rPr>
        <w:rFonts w:hint="eastAsia"/>
        <w:b/>
        <w:bCs/>
        <w:lang w:val="en-US"/>
      </w:rPr>
    </w:lvl>
  </w:abstractNum>
  <w:abstractNum w:abstractNumId="9">
    <w:nsid w:val="36F391B8"/>
    <w:multiLevelType w:val="singleLevel"/>
    <w:tmpl w:val="36F391B8"/>
    <w:lvl w:ilvl="0" w:tentative="0">
      <w:start w:val="1"/>
      <w:numFmt w:val="chineseCounting"/>
      <w:suff w:val="nothing"/>
      <w:lvlText w:val="%1、"/>
      <w:lvlJc w:val="left"/>
      <w:rPr>
        <w:rFonts w:hint="eastAsia"/>
      </w:rPr>
    </w:lvl>
  </w:abstractNum>
  <w:abstractNum w:abstractNumId="10">
    <w:nsid w:val="3AD95C78"/>
    <w:multiLevelType w:val="singleLevel"/>
    <w:tmpl w:val="3AD95C78"/>
    <w:lvl w:ilvl="0" w:tentative="0">
      <w:start w:val="1"/>
      <w:numFmt w:val="decimal"/>
      <w:lvlText w:val="%1."/>
      <w:lvlJc w:val="left"/>
      <w:pPr>
        <w:tabs>
          <w:tab w:val="left" w:pos="312"/>
        </w:tabs>
      </w:pPr>
    </w:lvl>
  </w:abstractNum>
  <w:abstractNum w:abstractNumId="11">
    <w:nsid w:val="4AA55397"/>
    <w:multiLevelType w:val="multilevel"/>
    <w:tmpl w:val="4AA55397"/>
    <w:lvl w:ilvl="0" w:tentative="0">
      <w:start w:val="1"/>
      <w:numFmt w:val="decimal"/>
      <w:lvlText w:val="%1．"/>
      <w:lvlJc w:val="left"/>
      <w:pPr>
        <w:tabs>
          <w:tab w:val="left" w:pos="360"/>
        </w:tabs>
        <w:ind w:left="360" w:hanging="360"/>
      </w:pPr>
      <w:rPr>
        <w:rFonts w:hint="default"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F412FE1"/>
    <w:multiLevelType w:val="multilevel"/>
    <w:tmpl w:val="4F412FE1"/>
    <w:lvl w:ilvl="0" w:tentative="0">
      <w:start w:val="1"/>
      <w:numFmt w:val="decimal"/>
      <w:lvlText w:val="%1."/>
      <w:lvlJc w:val="left"/>
      <w:pPr>
        <w:tabs>
          <w:tab w:val="left" w:pos="792"/>
        </w:tabs>
        <w:ind w:left="48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3A51CF"/>
    <w:multiLevelType w:val="multilevel"/>
    <w:tmpl w:val="513A51C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70926AD7"/>
    <w:multiLevelType w:val="multilevel"/>
    <w:tmpl w:val="70926AD7"/>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2E0494C"/>
    <w:multiLevelType w:val="multilevel"/>
    <w:tmpl w:val="72E0494C"/>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7902701"/>
    <w:multiLevelType w:val="multilevel"/>
    <w:tmpl w:val="77902701"/>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4"/>
  </w:num>
  <w:num w:numId="3">
    <w:abstractNumId w:val="16"/>
  </w:num>
  <w:num w:numId="4">
    <w:abstractNumId w:val="5"/>
  </w:num>
  <w:num w:numId="5">
    <w:abstractNumId w:val="1"/>
  </w:num>
  <w:num w:numId="6">
    <w:abstractNumId w:val="2"/>
  </w:num>
  <w:num w:numId="7">
    <w:abstractNumId w:val="8"/>
  </w:num>
  <w:num w:numId="8">
    <w:abstractNumId w:val="0"/>
  </w:num>
  <w:num w:numId="9">
    <w:abstractNumId w:val="4"/>
  </w:num>
  <w:num w:numId="10">
    <w:abstractNumId w:val="3"/>
  </w:num>
  <w:num w:numId="11">
    <w:abstractNumId w:val="12"/>
  </w:num>
  <w:num w:numId="12">
    <w:abstractNumId w:val="11"/>
  </w:num>
  <w:num w:numId="13">
    <w:abstractNumId w:val="6"/>
  </w:num>
  <w:num w:numId="14">
    <w:abstractNumId w:val="9"/>
  </w:num>
  <w:num w:numId="15">
    <w:abstractNumId w:val="13"/>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ZDQyN2ZiMzk5NDc3NWMzMmI0ZGZiZDkzNDI4YmYifQ=="/>
  </w:docVars>
  <w:rsids>
    <w:rsidRoot w:val="00E53C97"/>
    <w:rsid w:val="00000F0A"/>
    <w:rsid w:val="0000113A"/>
    <w:rsid w:val="000130DC"/>
    <w:rsid w:val="00014168"/>
    <w:rsid w:val="000143F1"/>
    <w:rsid w:val="00016421"/>
    <w:rsid w:val="00021634"/>
    <w:rsid w:val="000232BC"/>
    <w:rsid w:val="000250A7"/>
    <w:rsid w:val="0002537B"/>
    <w:rsid w:val="00026750"/>
    <w:rsid w:val="0002762C"/>
    <w:rsid w:val="00030992"/>
    <w:rsid w:val="00035C9B"/>
    <w:rsid w:val="000370EB"/>
    <w:rsid w:val="00043EB1"/>
    <w:rsid w:val="000444E2"/>
    <w:rsid w:val="00047ADF"/>
    <w:rsid w:val="00051432"/>
    <w:rsid w:val="000546B2"/>
    <w:rsid w:val="00054713"/>
    <w:rsid w:val="000575FF"/>
    <w:rsid w:val="00062526"/>
    <w:rsid w:val="00063B58"/>
    <w:rsid w:val="000648B6"/>
    <w:rsid w:val="000668F1"/>
    <w:rsid w:val="0007499B"/>
    <w:rsid w:val="00075FBF"/>
    <w:rsid w:val="00082AF2"/>
    <w:rsid w:val="00085A4F"/>
    <w:rsid w:val="00087775"/>
    <w:rsid w:val="00090735"/>
    <w:rsid w:val="00090B13"/>
    <w:rsid w:val="000913D1"/>
    <w:rsid w:val="000A1737"/>
    <w:rsid w:val="000A472D"/>
    <w:rsid w:val="000A60CF"/>
    <w:rsid w:val="000B3420"/>
    <w:rsid w:val="000B583C"/>
    <w:rsid w:val="000C2CAC"/>
    <w:rsid w:val="000C3A13"/>
    <w:rsid w:val="000D3059"/>
    <w:rsid w:val="000E33C2"/>
    <w:rsid w:val="000F04B3"/>
    <w:rsid w:val="000F0750"/>
    <w:rsid w:val="000F2574"/>
    <w:rsid w:val="000F2C2B"/>
    <w:rsid w:val="000F2F28"/>
    <w:rsid w:val="000F4E3E"/>
    <w:rsid w:val="000F4E6A"/>
    <w:rsid w:val="000F5CAB"/>
    <w:rsid w:val="00104C83"/>
    <w:rsid w:val="00106D6E"/>
    <w:rsid w:val="001117B8"/>
    <w:rsid w:val="00113D8F"/>
    <w:rsid w:val="00114D4F"/>
    <w:rsid w:val="00114E7F"/>
    <w:rsid w:val="0011791E"/>
    <w:rsid w:val="00117EA1"/>
    <w:rsid w:val="00126017"/>
    <w:rsid w:val="001260BC"/>
    <w:rsid w:val="00127287"/>
    <w:rsid w:val="00137318"/>
    <w:rsid w:val="001414DA"/>
    <w:rsid w:val="00142F36"/>
    <w:rsid w:val="001434F5"/>
    <w:rsid w:val="00151587"/>
    <w:rsid w:val="0015745D"/>
    <w:rsid w:val="00160B5F"/>
    <w:rsid w:val="00164545"/>
    <w:rsid w:val="00166AFF"/>
    <w:rsid w:val="00167AFB"/>
    <w:rsid w:val="00174FF8"/>
    <w:rsid w:val="00176173"/>
    <w:rsid w:val="00177DF9"/>
    <w:rsid w:val="00182B50"/>
    <w:rsid w:val="00184104"/>
    <w:rsid w:val="00190FC5"/>
    <w:rsid w:val="001939BE"/>
    <w:rsid w:val="00195046"/>
    <w:rsid w:val="00196E32"/>
    <w:rsid w:val="001A7776"/>
    <w:rsid w:val="001B06B2"/>
    <w:rsid w:val="001B08D7"/>
    <w:rsid w:val="001B0E41"/>
    <w:rsid w:val="001B5F32"/>
    <w:rsid w:val="001C1602"/>
    <w:rsid w:val="001C2097"/>
    <w:rsid w:val="001C30AA"/>
    <w:rsid w:val="001C5493"/>
    <w:rsid w:val="001D0134"/>
    <w:rsid w:val="001F005A"/>
    <w:rsid w:val="001F101E"/>
    <w:rsid w:val="001F1E3C"/>
    <w:rsid w:val="001F66E4"/>
    <w:rsid w:val="00200A22"/>
    <w:rsid w:val="00202068"/>
    <w:rsid w:val="00211C3D"/>
    <w:rsid w:val="0022423E"/>
    <w:rsid w:val="002261ED"/>
    <w:rsid w:val="0023350D"/>
    <w:rsid w:val="002407FA"/>
    <w:rsid w:val="002421E7"/>
    <w:rsid w:val="00243909"/>
    <w:rsid w:val="002553C8"/>
    <w:rsid w:val="00255460"/>
    <w:rsid w:val="00271546"/>
    <w:rsid w:val="00273020"/>
    <w:rsid w:val="002868D7"/>
    <w:rsid w:val="00290C22"/>
    <w:rsid w:val="002910EB"/>
    <w:rsid w:val="00292A1D"/>
    <w:rsid w:val="00294798"/>
    <w:rsid w:val="00297DAE"/>
    <w:rsid w:val="002A3DCF"/>
    <w:rsid w:val="002A70F0"/>
    <w:rsid w:val="002B07C7"/>
    <w:rsid w:val="002B18CF"/>
    <w:rsid w:val="002B2105"/>
    <w:rsid w:val="002B273F"/>
    <w:rsid w:val="002B3D0B"/>
    <w:rsid w:val="002E3AB0"/>
    <w:rsid w:val="002E78B9"/>
    <w:rsid w:val="002F1D15"/>
    <w:rsid w:val="002F25EA"/>
    <w:rsid w:val="002F2DE2"/>
    <w:rsid w:val="003001AE"/>
    <w:rsid w:val="00304DFD"/>
    <w:rsid w:val="00312EEB"/>
    <w:rsid w:val="00316507"/>
    <w:rsid w:val="003265E9"/>
    <w:rsid w:val="0032690E"/>
    <w:rsid w:val="003276E5"/>
    <w:rsid w:val="00332A34"/>
    <w:rsid w:val="00335259"/>
    <w:rsid w:val="00336732"/>
    <w:rsid w:val="0034106E"/>
    <w:rsid w:val="00341421"/>
    <w:rsid w:val="003562AC"/>
    <w:rsid w:val="00356BFC"/>
    <w:rsid w:val="003600E3"/>
    <w:rsid w:val="00360D90"/>
    <w:rsid w:val="0036273B"/>
    <w:rsid w:val="00363A54"/>
    <w:rsid w:val="0036630D"/>
    <w:rsid w:val="003679CB"/>
    <w:rsid w:val="00375999"/>
    <w:rsid w:val="003766C8"/>
    <w:rsid w:val="00376EB8"/>
    <w:rsid w:val="003778DA"/>
    <w:rsid w:val="00377C3B"/>
    <w:rsid w:val="00382E59"/>
    <w:rsid w:val="003860B6"/>
    <w:rsid w:val="00395265"/>
    <w:rsid w:val="00396011"/>
    <w:rsid w:val="003A1898"/>
    <w:rsid w:val="003A3F84"/>
    <w:rsid w:val="003B6F3F"/>
    <w:rsid w:val="003C2919"/>
    <w:rsid w:val="003D10F2"/>
    <w:rsid w:val="003D36EF"/>
    <w:rsid w:val="003D6A88"/>
    <w:rsid w:val="003D71A6"/>
    <w:rsid w:val="003D7327"/>
    <w:rsid w:val="003F52FB"/>
    <w:rsid w:val="00401F7A"/>
    <w:rsid w:val="004062D1"/>
    <w:rsid w:val="004073D3"/>
    <w:rsid w:val="004077A5"/>
    <w:rsid w:val="00411E0E"/>
    <w:rsid w:val="004121BC"/>
    <w:rsid w:val="004218B4"/>
    <w:rsid w:val="00425397"/>
    <w:rsid w:val="00425E42"/>
    <w:rsid w:val="00431C6D"/>
    <w:rsid w:val="004340AC"/>
    <w:rsid w:val="0044056E"/>
    <w:rsid w:val="00440612"/>
    <w:rsid w:val="0044115C"/>
    <w:rsid w:val="00442413"/>
    <w:rsid w:val="0044408F"/>
    <w:rsid w:val="00446CCB"/>
    <w:rsid w:val="0044742E"/>
    <w:rsid w:val="00453E52"/>
    <w:rsid w:val="004561AB"/>
    <w:rsid w:val="00456B7D"/>
    <w:rsid w:val="00460B00"/>
    <w:rsid w:val="004644B4"/>
    <w:rsid w:val="004648BC"/>
    <w:rsid w:val="00467A47"/>
    <w:rsid w:val="00471D2F"/>
    <w:rsid w:val="00475A43"/>
    <w:rsid w:val="00475F3C"/>
    <w:rsid w:val="00477DE8"/>
    <w:rsid w:val="00482369"/>
    <w:rsid w:val="0048599B"/>
    <w:rsid w:val="004929AE"/>
    <w:rsid w:val="00495873"/>
    <w:rsid w:val="004A34E0"/>
    <w:rsid w:val="004A6107"/>
    <w:rsid w:val="004A65CD"/>
    <w:rsid w:val="004A69B0"/>
    <w:rsid w:val="004B25E7"/>
    <w:rsid w:val="004B511F"/>
    <w:rsid w:val="004C5A17"/>
    <w:rsid w:val="004D6335"/>
    <w:rsid w:val="004E690C"/>
    <w:rsid w:val="004E7420"/>
    <w:rsid w:val="004F52EB"/>
    <w:rsid w:val="004F5474"/>
    <w:rsid w:val="0050167D"/>
    <w:rsid w:val="00503C7A"/>
    <w:rsid w:val="005057F8"/>
    <w:rsid w:val="00506C6D"/>
    <w:rsid w:val="00506E08"/>
    <w:rsid w:val="0051571E"/>
    <w:rsid w:val="0051629A"/>
    <w:rsid w:val="00517037"/>
    <w:rsid w:val="00520A6E"/>
    <w:rsid w:val="00523EC0"/>
    <w:rsid w:val="00525A5F"/>
    <w:rsid w:val="00525B4F"/>
    <w:rsid w:val="00526234"/>
    <w:rsid w:val="0053036D"/>
    <w:rsid w:val="005309C4"/>
    <w:rsid w:val="00535259"/>
    <w:rsid w:val="005432B8"/>
    <w:rsid w:val="00545521"/>
    <w:rsid w:val="00554C33"/>
    <w:rsid w:val="005715A6"/>
    <w:rsid w:val="005741DA"/>
    <w:rsid w:val="00574CE6"/>
    <w:rsid w:val="00575A6D"/>
    <w:rsid w:val="00575AC6"/>
    <w:rsid w:val="005852A7"/>
    <w:rsid w:val="005869BC"/>
    <w:rsid w:val="00596CA0"/>
    <w:rsid w:val="005B2B3A"/>
    <w:rsid w:val="005B30A9"/>
    <w:rsid w:val="005B6748"/>
    <w:rsid w:val="005B6EAC"/>
    <w:rsid w:val="005C54A4"/>
    <w:rsid w:val="005C6038"/>
    <w:rsid w:val="005D2092"/>
    <w:rsid w:val="005D3312"/>
    <w:rsid w:val="005D46D3"/>
    <w:rsid w:val="005D6E84"/>
    <w:rsid w:val="005E3949"/>
    <w:rsid w:val="005F6AB0"/>
    <w:rsid w:val="005F7574"/>
    <w:rsid w:val="006037E2"/>
    <w:rsid w:val="00605DAD"/>
    <w:rsid w:val="006221D9"/>
    <w:rsid w:val="00623297"/>
    <w:rsid w:val="00625F3C"/>
    <w:rsid w:val="00627B25"/>
    <w:rsid w:val="00633A41"/>
    <w:rsid w:val="00641680"/>
    <w:rsid w:val="00641CC2"/>
    <w:rsid w:val="00642859"/>
    <w:rsid w:val="00646F19"/>
    <w:rsid w:val="00652797"/>
    <w:rsid w:val="00671903"/>
    <w:rsid w:val="00674B0F"/>
    <w:rsid w:val="006770EB"/>
    <w:rsid w:val="00677327"/>
    <w:rsid w:val="00690423"/>
    <w:rsid w:val="00691EAC"/>
    <w:rsid w:val="00693785"/>
    <w:rsid w:val="006937D2"/>
    <w:rsid w:val="006A25F2"/>
    <w:rsid w:val="006A4B5A"/>
    <w:rsid w:val="006B30BD"/>
    <w:rsid w:val="006B39F6"/>
    <w:rsid w:val="006B3F75"/>
    <w:rsid w:val="006B7BFE"/>
    <w:rsid w:val="006C0472"/>
    <w:rsid w:val="006C131B"/>
    <w:rsid w:val="006C3AA4"/>
    <w:rsid w:val="006C458B"/>
    <w:rsid w:val="006D6682"/>
    <w:rsid w:val="006E0AFA"/>
    <w:rsid w:val="006E27F0"/>
    <w:rsid w:val="006E33CF"/>
    <w:rsid w:val="006F035A"/>
    <w:rsid w:val="007024C5"/>
    <w:rsid w:val="00702927"/>
    <w:rsid w:val="00705CB2"/>
    <w:rsid w:val="0071033E"/>
    <w:rsid w:val="007229DE"/>
    <w:rsid w:val="0072444B"/>
    <w:rsid w:val="00725357"/>
    <w:rsid w:val="00726D10"/>
    <w:rsid w:val="00732CB4"/>
    <w:rsid w:val="0073440A"/>
    <w:rsid w:val="00737B71"/>
    <w:rsid w:val="00741F0F"/>
    <w:rsid w:val="00746B9E"/>
    <w:rsid w:val="00747E22"/>
    <w:rsid w:val="0075108D"/>
    <w:rsid w:val="007532BB"/>
    <w:rsid w:val="00757AF2"/>
    <w:rsid w:val="0076417F"/>
    <w:rsid w:val="0076717F"/>
    <w:rsid w:val="00770ABC"/>
    <w:rsid w:val="00777A18"/>
    <w:rsid w:val="007809C3"/>
    <w:rsid w:val="00783501"/>
    <w:rsid w:val="0078675E"/>
    <w:rsid w:val="007876B6"/>
    <w:rsid w:val="0079081A"/>
    <w:rsid w:val="0079260F"/>
    <w:rsid w:val="007A1B29"/>
    <w:rsid w:val="007A2939"/>
    <w:rsid w:val="007B3424"/>
    <w:rsid w:val="007B7FB0"/>
    <w:rsid w:val="007C2E08"/>
    <w:rsid w:val="007C55F0"/>
    <w:rsid w:val="007D0222"/>
    <w:rsid w:val="007D1C4B"/>
    <w:rsid w:val="007D43BB"/>
    <w:rsid w:val="007D5EEA"/>
    <w:rsid w:val="007E4BDC"/>
    <w:rsid w:val="007E5C27"/>
    <w:rsid w:val="007F14E9"/>
    <w:rsid w:val="007F1CB6"/>
    <w:rsid w:val="007F2DEF"/>
    <w:rsid w:val="007F396D"/>
    <w:rsid w:val="007F3B11"/>
    <w:rsid w:val="007F3E4B"/>
    <w:rsid w:val="007F5D25"/>
    <w:rsid w:val="00800B6F"/>
    <w:rsid w:val="00803F7C"/>
    <w:rsid w:val="008070C4"/>
    <w:rsid w:val="00807A5C"/>
    <w:rsid w:val="0082168C"/>
    <w:rsid w:val="0082187E"/>
    <w:rsid w:val="00821CDC"/>
    <w:rsid w:val="00821F49"/>
    <w:rsid w:val="00822D97"/>
    <w:rsid w:val="00825EDB"/>
    <w:rsid w:val="00826362"/>
    <w:rsid w:val="0083673A"/>
    <w:rsid w:val="0084387D"/>
    <w:rsid w:val="00846747"/>
    <w:rsid w:val="00853ED5"/>
    <w:rsid w:val="00854333"/>
    <w:rsid w:val="008546B4"/>
    <w:rsid w:val="008567A1"/>
    <w:rsid w:val="00857572"/>
    <w:rsid w:val="008651A7"/>
    <w:rsid w:val="00867202"/>
    <w:rsid w:val="0087071F"/>
    <w:rsid w:val="00870A28"/>
    <w:rsid w:val="00870CCF"/>
    <w:rsid w:val="0087149D"/>
    <w:rsid w:val="00874017"/>
    <w:rsid w:val="008803AE"/>
    <w:rsid w:val="008918A9"/>
    <w:rsid w:val="00891F18"/>
    <w:rsid w:val="008947F8"/>
    <w:rsid w:val="008A0B1C"/>
    <w:rsid w:val="008A175D"/>
    <w:rsid w:val="008A25B0"/>
    <w:rsid w:val="008A4C87"/>
    <w:rsid w:val="008A4E30"/>
    <w:rsid w:val="008A6821"/>
    <w:rsid w:val="008B4AA9"/>
    <w:rsid w:val="008C4485"/>
    <w:rsid w:val="008D5002"/>
    <w:rsid w:val="008E0089"/>
    <w:rsid w:val="008E68F5"/>
    <w:rsid w:val="008F6730"/>
    <w:rsid w:val="008F75F5"/>
    <w:rsid w:val="00900693"/>
    <w:rsid w:val="00905A44"/>
    <w:rsid w:val="00906343"/>
    <w:rsid w:val="00912B62"/>
    <w:rsid w:val="00923E80"/>
    <w:rsid w:val="009259E3"/>
    <w:rsid w:val="0092626E"/>
    <w:rsid w:val="00930F1F"/>
    <w:rsid w:val="00931FC1"/>
    <w:rsid w:val="00934AAD"/>
    <w:rsid w:val="00940F88"/>
    <w:rsid w:val="00942CB9"/>
    <w:rsid w:val="00944FEA"/>
    <w:rsid w:val="0094688E"/>
    <w:rsid w:val="0095340A"/>
    <w:rsid w:val="009625F8"/>
    <w:rsid w:val="0096591B"/>
    <w:rsid w:val="0097047F"/>
    <w:rsid w:val="00970706"/>
    <w:rsid w:val="00971A10"/>
    <w:rsid w:val="00983654"/>
    <w:rsid w:val="00984AED"/>
    <w:rsid w:val="009944F2"/>
    <w:rsid w:val="009948C7"/>
    <w:rsid w:val="009956E3"/>
    <w:rsid w:val="009959E4"/>
    <w:rsid w:val="00996490"/>
    <w:rsid w:val="009969F6"/>
    <w:rsid w:val="009A6812"/>
    <w:rsid w:val="009B1BE5"/>
    <w:rsid w:val="009B2798"/>
    <w:rsid w:val="009B4B74"/>
    <w:rsid w:val="009B61D3"/>
    <w:rsid w:val="009B6996"/>
    <w:rsid w:val="009B7C54"/>
    <w:rsid w:val="009C4891"/>
    <w:rsid w:val="009C6DEC"/>
    <w:rsid w:val="009C6EA7"/>
    <w:rsid w:val="009D3894"/>
    <w:rsid w:val="009D5EF3"/>
    <w:rsid w:val="009E0981"/>
    <w:rsid w:val="009E1311"/>
    <w:rsid w:val="009E292A"/>
    <w:rsid w:val="009F381B"/>
    <w:rsid w:val="009F3C04"/>
    <w:rsid w:val="009F4365"/>
    <w:rsid w:val="009F6BF3"/>
    <w:rsid w:val="00A01285"/>
    <w:rsid w:val="00A21EB8"/>
    <w:rsid w:val="00A21EF8"/>
    <w:rsid w:val="00A30C40"/>
    <w:rsid w:val="00A30ED6"/>
    <w:rsid w:val="00A31323"/>
    <w:rsid w:val="00A3473F"/>
    <w:rsid w:val="00A35129"/>
    <w:rsid w:val="00A37CC6"/>
    <w:rsid w:val="00A406B2"/>
    <w:rsid w:val="00A42810"/>
    <w:rsid w:val="00A473EF"/>
    <w:rsid w:val="00A5311C"/>
    <w:rsid w:val="00A635CC"/>
    <w:rsid w:val="00A65272"/>
    <w:rsid w:val="00A65ABC"/>
    <w:rsid w:val="00A67D27"/>
    <w:rsid w:val="00A703DE"/>
    <w:rsid w:val="00A753F5"/>
    <w:rsid w:val="00A75564"/>
    <w:rsid w:val="00A8142E"/>
    <w:rsid w:val="00A83794"/>
    <w:rsid w:val="00A83EBF"/>
    <w:rsid w:val="00A8527A"/>
    <w:rsid w:val="00A86DBF"/>
    <w:rsid w:val="00A879E9"/>
    <w:rsid w:val="00AA537F"/>
    <w:rsid w:val="00AA5C79"/>
    <w:rsid w:val="00AB0034"/>
    <w:rsid w:val="00AB7315"/>
    <w:rsid w:val="00AC2C94"/>
    <w:rsid w:val="00AC4DA9"/>
    <w:rsid w:val="00AD10B8"/>
    <w:rsid w:val="00AE7D1F"/>
    <w:rsid w:val="00AE7E72"/>
    <w:rsid w:val="00AF0530"/>
    <w:rsid w:val="00AF10B5"/>
    <w:rsid w:val="00AF202B"/>
    <w:rsid w:val="00AF7135"/>
    <w:rsid w:val="00B02CD9"/>
    <w:rsid w:val="00B05C24"/>
    <w:rsid w:val="00B11514"/>
    <w:rsid w:val="00B123E3"/>
    <w:rsid w:val="00B15D61"/>
    <w:rsid w:val="00B2364D"/>
    <w:rsid w:val="00B27F6B"/>
    <w:rsid w:val="00B30FD5"/>
    <w:rsid w:val="00B314FA"/>
    <w:rsid w:val="00B34BDF"/>
    <w:rsid w:val="00B44A06"/>
    <w:rsid w:val="00B46BE1"/>
    <w:rsid w:val="00B50336"/>
    <w:rsid w:val="00B536C8"/>
    <w:rsid w:val="00B53B7F"/>
    <w:rsid w:val="00B62B96"/>
    <w:rsid w:val="00B63D3E"/>
    <w:rsid w:val="00B66BBD"/>
    <w:rsid w:val="00B7082A"/>
    <w:rsid w:val="00B775D1"/>
    <w:rsid w:val="00B8750D"/>
    <w:rsid w:val="00B9212A"/>
    <w:rsid w:val="00BA0FBC"/>
    <w:rsid w:val="00BA28FE"/>
    <w:rsid w:val="00BA3D89"/>
    <w:rsid w:val="00BA4781"/>
    <w:rsid w:val="00BB0162"/>
    <w:rsid w:val="00BB31D1"/>
    <w:rsid w:val="00BB5925"/>
    <w:rsid w:val="00BC1FF2"/>
    <w:rsid w:val="00BC250C"/>
    <w:rsid w:val="00BD15B8"/>
    <w:rsid w:val="00BD16FF"/>
    <w:rsid w:val="00BD3238"/>
    <w:rsid w:val="00BD3DFD"/>
    <w:rsid w:val="00BD3ECB"/>
    <w:rsid w:val="00BD5D39"/>
    <w:rsid w:val="00BE3F28"/>
    <w:rsid w:val="00BE5488"/>
    <w:rsid w:val="00BF267F"/>
    <w:rsid w:val="00BF7398"/>
    <w:rsid w:val="00C034F5"/>
    <w:rsid w:val="00C04D4A"/>
    <w:rsid w:val="00C10052"/>
    <w:rsid w:val="00C11EE2"/>
    <w:rsid w:val="00C369F8"/>
    <w:rsid w:val="00C414F6"/>
    <w:rsid w:val="00C519CF"/>
    <w:rsid w:val="00C5559A"/>
    <w:rsid w:val="00C65BA6"/>
    <w:rsid w:val="00C660EC"/>
    <w:rsid w:val="00C72998"/>
    <w:rsid w:val="00C84D1A"/>
    <w:rsid w:val="00C86CD7"/>
    <w:rsid w:val="00C876CB"/>
    <w:rsid w:val="00C946AB"/>
    <w:rsid w:val="00CA2AD4"/>
    <w:rsid w:val="00CA4F3F"/>
    <w:rsid w:val="00CB36BD"/>
    <w:rsid w:val="00CB3F6E"/>
    <w:rsid w:val="00CB49C3"/>
    <w:rsid w:val="00CC1515"/>
    <w:rsid w:val="00CC23CB"/>
    <w:rsid w:val="00CC3D93"/>
    <w:rsid w:val="00CD0D4C"/>
    <w:rsid w:val="00CD4086"/>
    <w:rsid w:val="00CD78FC"/>
    <w:rsid w:val="00CE509A"/>
    <w:rsid w:val="00CF1D7C"/>
    <w:rsid w:val="00D02048"/>
    <w:rsid w:val="00D03CA6"/>
    <w:rsid w:val="00D12061"/>
    <w:rsid w:val="00D200D9"/>
    <w:rsid w:val="00D24424"/>
    <w:rsid w:val="00D37267"/>
    <w:rsid w:val="00D42924"/>
    <w:rsid w:val="00D51391"/>
    <w:rsid w:val="00D53F7B"/>
    <w:rsid w:val="00D61084"/>
    <w:rsid w:val="00D65F63"/>
    <w:rsid w:val="00D66276"/>
    <w:rsid w:val="00D74248"/>
    <w:rsid w:val="00D75668"/>
    <w:rsid w:val="00D8064E"/>
    <w:rsid w:val="00D82FE3"/>
    <w:rsid w:val="00D873F6"/>
    <w:rsid w:val="00D9067E"/>
    <w:rsid w:val="00D91495"/>
    <w:rsid w:val="00D926DA"/>
    <w:rsid w:val="00DB1DE6"/>
    <w:rsid w:val="00DB22F6"/>
    <w:rsid w:val="00DB7D7B"/>
    <w:rsid w:val="00DC1C2F"/>
    <w:rsid w:val="00DC4CEC"/>
    <w:rsid w:val="00DC5C8A"/>
    <w:rsid w:val="00DC7F98"/>
    <w:rsid w:val="00DD116B"/>
    <w:rsid w:val="00DD24E5"/>
    <w:rsid w:val="00DD3D66"/>
    <w:rsid w:val="00DD3FD2"/>
    <w:rsid w:val="00DD48E7"/>
    <w:rsid w:val="00DD508E"/>
    <w:rsid w:val="00DE1BF5"/>
    <w:rsid w:val="00DE1C43"/>
    <w:rsid w:val="00DE58C3"/>
    <w:rsid w:val="00DE7C82"/>
    <w:rsid w:val="00DF5FD6"/>
    <w:rsid w:val="00E03D1A"/>
    <w:rsid w:val="00E04D63"/>
    <w:rsid w:val="00E05967"/>
    <w:rsid w:val="00E0608F"/>
    <w:rsid w:val="00E12427"/>
    <w:rsid w:val="00E200A3"/>
    <w:rsid w:val="00E27D5F"/>
    <w:rsid w:val="00E30D63"/>
    <w:rsid w:val="00E33229"/>
    <w:rsid w:val="00E3628C"/>
    <w:rsid w:val="00E41326"/>
    <w:rsid w:val="00E446CD"/>
    <w:rsid w:val="00E460C6"/>
    <w:rsid w:val="00E46202"/>
    <w:rsid w:val="00E47850"/>
    <w:rsid w:val="00E50C0B"/>
    <w:rsid w:val="00E525C6"/>
    <w:rsid w:val="00E53C97"/>
    <w:rsid w:val="00E57E9E"/>
    <w:rsid w:val="00E6158B"/>
    <w:rsid w:val="00E6593E"/>
    <w:rsid w:val="00E66282"/>
    <w:rsid w:val="00E72308"/>
    <w:rsid w:val="00E72BF9"/>
    <w:rsid w:val="00E74952"/>
    <w:rsid w:val="00E758F6"/>
    <w:rsid w:val="00E842B3"/>
    <w:rsid w:val="00E87132"/>
    <w:rsid w:val="00E90BED"/>
    <w:rsid w:val="00E93BBC"/>
    <w:rsid w:val="00E95983"/>
    <w:rsid w:val="00EA35AE"/>
    <w:rsid w:val="00EA40E5"/>
    <w:rsid w:val="00EB1164"/>
    <w:rsid w:val="00EB260E"/>
    <w:rsid w:val="00EB4082"/>
    <w:rsid w:val="00EC682D"/>
    <w:rsid w:val="00ED1B94"/>
    <w:rsid w:val="00ED40E2"/>
    <w:rsid w:val="00ED45C6"/>
    <w:rsid w:val="00ED5DF5"/>
    <w:rsid w:val="00ED7DFE"/>
    <w:rsid w:val="00EE0997"/>
    <w:rsid w:val="00EE499B"/>
    <w:rsid w:val="00F0217A"/>
    <w:rsid w:val="00F037D1"/>
    <w:rsid w:val="00F0676D"/>
    <w:rsid w:val="00F1125C"/>
    <w:rsid w:val="00F15744"/>
    <w:rsid w:val="00F15A07"/>
    <w:rsid w:val="00F207D9"/>
    <w:rsid w:val="00F20D84"/>
    <w:rsid w:val="00F312B3"/>
    <w:rsid w:val="00F312DF"/>
    <w:rsid w:val="00F34A0F"/>
    <w:rsid w:val="00F36E7A"/>
    <w:rsid w:val="00F375CF"/>
    <w:rsid w:val="00F37A7A"/>
    <w:rsid w:val="00F430E4"/>
    <w:rsid w:val="00F50168"/>
    <w:rsid w:val="00F54059"/>
    <w:rsid w:val="00F558D0"/>
    <w:rsid w:val="00F561D7"/>
    <w:rsid w:val="00F625A6"/>
    <w:rsid w:val="00F62BA9"/>
    <w:rsid w:val="00F65B5F"/>
    <w:rsid w:val="00F67CC2"/>
    <w:rsid w:val="00F70B5B"/>
    <w:rsid w:val="00F73826"/>
    <w:rsid w:val="00F73A6B"/>
    <w:rsid w:val="00F75A95"/>
    <w:rsid w:val="00F7706F"/>
    <w:rsid w:val="00F81CC1"/>
    <w:rsid w:val="00F828B1"/>
    <w:rsid w:val="00F842CA"/>
    <w:rsid w:val="00F90BAE"/>
    <w:rsid w:val="00F92F8C"/>
    <w:rsid w:val="00FA0DB6"/>
    <w:rsid w:val="00FA77CC"/>
    <w:rsid w:val="00FB4670"/>
    <w:rsid w:val="00FB7408"/>
    <w:rsid w:val="00FC256E"/>
    <w:rsid w:val="00FC4EBD"/>
    <w:rsid w:val="00FC5BFC"/>
    <w:rsid w:val="00FC5CBD"/>
    <w:rsid w:val="00FD5E52"/>
    <w:rsid w:val="00FD6873"/>
    <w:rsid w:val="00FE09C5"/>
    <w:rsid w:val="00FF0DDA"/>
    <w:rsid w:val="00FF215E"/>
    <w:rsid w:val="00FF6DD5"/>
    <w:rsid w:val="01D05165"/>
    <w:rsid w:val="043E3047"/>
    <w:rsid w:val="05B10E6F"/>
    <w:rsid w:val="07821BE8"/>
    <w:rsid w:val="0914179B"/>
    <w:rsid w:val="0AD812A7"/>
    <w:rsid w:val="0B285936"/>
    <w:rsid w:val="0B7109C2"/>
    <w:rsid w:val="0C746753"/>
    <w:rsid w:val="0D1C6447"/>
    <w:rsid w:val="0D57246F"/>
    <w:rsid w:val="0DB33701"/>
    <w:rsid w:val="0E07080F"/>
    <w:rsid w:val="110601F5"/>
    <w:rsid w:val="1435390A"/>
    <w:rsid w:val="171D187D"/>
    <w:rsid w:val="1722359D"/>
    <w:rsid w:val="18E97F09"/>
    <w:rsid w:val="1A2F2188"/>
    <w:rsid w:val="1AA734CD"/>
    <w:rsid w:val="1AB214E3"/>
    <w:rsid w:val="1B7A2F0A"/>
    <w:rsid w:val="1C532879"/>
    <w:rsid w:val="1DE229AD"/>
    <w:rsid w:val="1EED71F9"/>
    <w:rsid w:val="1F4C61A4"/>
    <w:rsid w:val="1FAF0764"/>
    <w:rsid w:val="1FEA3551"/>
    <w:rsid w:val="200B1262"/>
    <w:rsid w:val="21FF77A7"/>
    <w:rsid w:val="22E23A77"/>
    <w:rsid w:val="242C183B"/>
    <w:rsid w:val="251E0645"/>
    <w:rsid w:val="293C112A"/>
    <w:rsid w:val="2B257347"/>
    <w:rsid w:val="2B88648B"/>
    <w:rsid w:val="2BF80676"/>
    <w:rsid w:val="2CA85564"/>
    <w:rsid w:val="2DD469FD"/>
    <w:rsid w:val="2E031810"/>
    <w:rsid w:val="2EE9014E"/>
    <w:rsid w:val="2F832C85"/>
    <w:rsid w:val="315D4DA9"/>
    <w:rsid w:val="315D66B5"/>
    <w:rsid w:val="32643D9D"/>
    <w:rsid w:val="33D02368"/>
    <w:rsid w:val="3423200B"/>
    <w:rsid w:val="34803BBB"/>
    <w:rsid w:val="37297A66"/>
    <w:rsid w:val="37687528"/>
    <w:rsid w:val="38B50567"/>
    <w:rsid w:val="39F06807"/>
    <w:rsid w:val="3A435965"/>
    <w:rsid w:val="3B2472B8"/>
    <w:rsid w:val="3C6B301D"/>
    <w:rsid w:val="3DE04D4D"/>
    <w:rsid w:val="41144350"/>
    <w:rsid w:val="426A12F7"/>
    <w:rsid w:val="430624E6"/>
    <w:rsid w:val="4442785A"/>
    <w:rsid w:val="44D8126F"/>
    <w:rsid w:val="45FB5550"/>
    <w:rsid w:val="475C16FB"/>
    <w:rsid w:val="4765632E"/>
    <w:rsid w:val="476B521A"/>
    <w:rsid w:val="4B32437C"/>
    <w:rsid w:val="4EE51A05"/>
    <w:rsid w:val="4FDF6855"/>
    <w:rsid w:val="50407CC2"/>
    <w:rsid w:val="51E728A3"/>
    <w:rsid w:val="52206DAE"/>
    <w:rsid w:val="54811B42"/>
    <w:rsid w:val="57064EBB"/>
    <w:rsid w:val="57C17394"/>
    <w:rsid w:val="599607BD"/>
    <w:rsid w:val="5B8A5421"/>
    <w:rsid w:val="5C147475"/>
    <w:rsid w:val="5C2B4775"/>
    <w:rsid w:val="5DF03C66"/>
    <w:rsid w:val="5EBA1BB4"/>
    <w:rsid w:val="5F1D4538"/>
    <w:rsid w:val="5F610B8F"/>
    <w:rsid w:val="60954120"/>
    <w:rsid w:val="60C347D5"/>
    <w:rsid w:val="64DC5C1F"/>
    <w:rsid w:val="654A7049"/>
    <w:rsid w:val="66A63744"/>
    <w:rsid w:val="680D106A"/>
    <w:rsid w:val="6AFF7D08"/>
    <w:rsid w:val="6E352F05"/>
    <w:rsid w:val="6F264369"/>
    <w:rsid w:val="73DE5EB2"/>
    <w:rsid w:val="75083251"/>
    <w:rsid w:val="750D5C8A"/>
    <w:rsid w:val="76DA64E5"/>
    <w:rsid w:val="796E7088"/>
    <w:rsid w:val="7A4406BF"/>
    <w:rsid w:val="7BA85421"/>
    <w:rsid w:val="7D6C1836"/>
    <w:rsid w:val="7DA2134F"/>
    <w:rsid w:val="7FD335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35"/>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3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1"/>
    <w:unhideWhenUsed/>
    <w:qFormat/>
    <w:uiPriority w:val="0"/>
    <w:pPr>
      <w:keepNext/>
      <w:keepLines/>
      <w:spacing w:before="260" w:after="260" w:line="416" w:lineRule="auto"/>
      <w:outlineLvl w:val="2"/>
    </w:pPr>
    <w:rPr>
      <w:b/>
      <w:bCs/>
      <w:sz w:val="32"/>
      <w:szCs w:val="32"/>
    </w:rPr>
  </w:style>
  <w:style w:type="paragraph" w:styleId="5">
    <w:name w:val="heading 6"/>
    <w:basedOn w:val="1"/>
    <w:next w:val="1"/>
    <w:unhideWhenUsed/>
    <w:qFormat/>
    <w:uiPriority w:val="9"/>
    <w:pPr>
      <w:keepNext/>
      <w:keepLines/>
      <w:spacing w:line="320" w:lineRule="auto"/>
      <w:outlineLvl w:val="5"/>
    </w:pPr>
    <w:rPr>
      <w:rFonts w:eastAsia="仿宋" w:asciiTheme="majorHAnsi" w:hAnsiTheme="majorHAnsi" w:cstheme="majorBidi"/>
      <w:b/>
      <w:bCs/>
      <w:sz w:val="28"/>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6"/>
    <w:qFormat/>
    <w:uiPriority w:val="0"/>
    <w:pPr>
      <w:ind w:firstLine="420" w:firstLineChars="200"/>
    </w:pPr>
    <w:rPr>
      <w:rFonts w:ascii="Times New Roman" w:hAnsi="Times New Roman" w:eastAsia="宋体" w:cs="Times New Roman"/>
      <w:szCs w:val="24"/>
    </w:rPr>
  </w:style>
  <w:style w:type="paragraph" w:styleId="7">
    <w:name w:val="annotation text"/>
    <w:basedOn w:val="1"/>
    <w:link w:val="52"/>
    <w:semiHidden/>
    <w:unhideWhenUsed/>
    <w:qFormat/>
    <w:uiPriority w:val="99"/>
    <w:pPr>
      <w:jc w:val="left"/>
    </w:pPr>
  </w:style>
  <w:style w:type="paragraph" w:styleId="8">
    <w:name w:val="Body Text"/>
    <w:basedOn w:val="1"/>
    <w:link w:val="44"/>
    <w:qFormat/>
    <w:uiPriority w:val="0"/>
    <w:pPr>
      <w:spacing w:after="120"/>
    </w:pPr>
    <w:rPr>
      <w:rFonts w:ascii="Calibri" w:hAnsi="Calibri" w:eastAsia="宋体" w:cs="黑体"/>
      <w:szCs w:val="24"/>
    </w:rPr>
  </w:style>
  <w:style w:type="paragraph" w:styleId="9">
    <w:name w:val="Body Text Indent"/>
    <w:basedOn w:val="1"/>
    <w:link w:val="58"/>
    <w:semiHidden/>
    <w:unhideWhenUsed/>
    <w:qFormat/>
    <w:uiPriority w:val="99"/>
    <w:pPr>
      <w:spacing w:after="120"/>
      <w:ind w:left="420" w:leftChars="200"/>
    </w:pPr>
  </w:style>
  <w:style w:type="paragraph" w:styleId="10">
    <w:name w:val="toc 3"/>
    <w:basedOn w:val="1"/>
    <w:next w:val="1"/>
    <w:unhideWhenUsed/>
    <w:qFormat/>
    <w:uiPriority w:val="39"/>
    <w:pPr>
      <w:ind w:left="840" w:leftChars="400"/>
    </w:pPr>
  </w:style>
  <w:style w:type="paragraph" w:styleId="11">
    <w:name w:val="Plain Text"/>
    <w:basedOn w:val="1"/>
    <w:link w:val="55"/>
    <w:qFormat/>
    <w:uiPriority w:val="0"/>
    <w:pPr>
      <w:adjustRightInd w:val="0"/>
      <w:spacing w:line="312" w:lineRule="atLeast"/>
      <w:textAlignment w:val="baseline"/>
    </w:pPr>
    <w:rPr>
      <w:rFonts w:ascii="宋体" w:hAnsi="Courier New" w:eastAsia="宋体" w:cs="Times New Roman"/>
      <w:kern w:val="0"/>
      <w:szCs w:val="21"/>
    </w:rPr>
  </w:style>
  <w:style w:type="paragraph" w:styleId="12">
    <w:name w:val="Body Text Indent 2"/>
    <w:basedOn w:val="1"/>
    <w:qFormat/>
    <w:uiPriority w:val="0"/>
    <w:pPr>
      <w:ind w:firstLine="567"/>
    </w:pPr>
    <w:rPr>
      <w:sz w:val="24"/>
      <w:szCs w:val="24"/>
    </w:rPr>
  </w:style>
  <w:style w:type="paragraph" w:styleId="13">
    <w:name w:val="Balloon Text"/>
    <w:basedOn w:val="1"/>
    <w:link w:val="41"/>
    <w:semiHidden/>
    <w:unhideWhenUsed/>
    <w:qFormat/>
    <w:uiPriority w:val="99"/>
    <w:rPr>
      <w:sz w:val="18"/>
      <w:szCs w:val="18"/>
    </w:rPr>
  </w:style>
  <w:style w:type="paragraph" w:styleId="14">
    <w:name w:val="footer"/>
    <w:basedOn w:val="1"/>
    <w:link w:val="34"/>
    <w:unhideWhenUsed/>
    <w:qFormat/>
    <w:uiPriority w:val="99"/>
    <w:pPr>
      <w:tabs>
        <w:tab w:val="center" w:pos="4153"/>
        <w:tab w:val="right" w:pos="8306"/>
      </w:tabs>
      <w:snapToGrid w:val="0"/>
      <w:jc w:val="left"/>
    </w:pPr>
    <w:rPr>
      <w:sz w:val="18"/>
      <w:szCs w:val="18"/>
    </w:rPr>
  </w:style>
  <w:style w:type="paragraph" w:styleId="15">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footnote text"/>
    <w:basedOn w:val="1"/>
    <w:link w:val="49"/>
    <w:semiHidden/>
    <w:unhideWhenUsed/>
    <w:qFormat/>
    <w:uiPriority w:val="99"/>
    <w:pPr>
      <w:snapToGrid w:val="0"/>
      <w:jc w:val="left"/>
    </w:pPr>
    <w:rPr>
      <w:rFonts w:ascii="Times New Roman" w:hAnsi="Times New Roman" w:eastAsia="宋体" w:cs="Times New Roman"/>
      <w:sz w:val="18"/>
      <w:szCs w:val="18"/>
    </w:rPr>
  </w:style>
  <w:style w:type="paragraph" w:styleId="18">
    <w:name w:val="Body Text Indent 3"/>
    <w:basedOn w:val="1"/>
    <w:link w:val="62"/>
    <w:unhideWhenUsed/>
    <w:qFormat/>
    <w:uiPriority w:val="0"/>
    <w:pPr>
      <w:spacing w:after="120"/>
      <w:ind w:left="420" w:leftChars="200"/>
    </w:pPr>
    <w:rPr>
      <w:sz w:val="16"/>
      <w:szCs w:val="16"/>
    </w:rPr>
  </w:style>
  <w:style w:type="paragraph" w:styleId="19">
    <w:name w:val="toc 2"/>
    <w:basedOn w:val="1"/>
    <w:next w:val="1"/>
    <w:unhideWhenUsed/>
    <w:qFormat/>
    <w:uiPriority w:val="39"/>
    <w:pPr>
      <w:ind w:left="420" w:leftChars="200"/>
    </w:pPr>
  </w:style>
  <w:style w:type="paragraph" w:styleId="20">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1">
    <w:name w:val="annotation subject"/>
    <w:basedOn w:val="7"/>
    <w:next w:val="7"/>
    <w:link w:val="53"/>
    <w:semiHidden/>
    <w:unhideWhenUsed/>
    <w:qFormat/>
    <w:uiPriority w:val="99"/>
    <w:rPr>
      <w:b/>
      <w:bCs/>
    </w:rPr>
  </w:style>
  <w:style w:type="paragraph" w:styleId="22">
    <w:name w:val="Body Text First Indent"/>
    <w:basedOn w:val="8"/>
    <w:unhideWhenUsed/>
    <w:qFormat/>
    <w:uiPriority w:val="99"/>
    <w:pPr>
      <w:ind w:firstLine="420" w:firstLineChars="100"/>
    </w:pPr>
    <w:rPr>
      <w:rFonts w:ascii="Calibri" w:hAnsi="Calibri"/>
      <w:szCs w:val="22"/>
    </w:rPr>
  </w:style>
  <w:style w:type="paragraph" w:styleId="23">
    <w:name w:val="Body Text First Indent 2"/>
    <w:basedOn w:val="9"/>
    <w:link w:val="59"/>
    <w:qFormat/>
    <w:uiPriority w:val="0"/>
    <w:pPr>
      <w:ind w:firstLine="420" w:firstLineChars="200"/>
    </w:pPr>
    <w:rPr>
      <w:rFonts w:ascii="Times New Roman" w:hAnsi="Times New Roman" w:eastAsia="宋体" w:cs="Times New Roman"/>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paragraph" w:customStyle="1" w:styleId="3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2">
    <w:name w:val="List Paragraph"/>
    <w:basedOn w:val="1"/>
    <w:qFormat/>
    <w:uiPriority w:val="34"/>
    <w:pPr>
      <w:ind w:firstLine="420" w:firstLineChars="200"/>
    </w:pPr>
  </w:style>
  <w:style w:type="character" w:customStyle="1" w:styleId="33">
    <w:name w:val="页眉 Char"/>
    <w:basedOn w:val="26"/>
    <w:link w:val="15"/>
    <w:qFormat/>
    <w:uiPriority w:val="0"/>
    <w:rPr>
      <w:sz w:val="18"/>
      <w:szCs w:val="18"/>
    </w:rPr>
  </w:style>
  <w:style w:type="character" w:customStyle="1" w:styleId="34">
    <w:name w:val="页脚 Char"/>
    <w:basedOn w:val="26"/>
    <w:link w:val="14"/>
    <w:qFormat/>
    <w:uiPriority w:val="99"/>
    <w:rPr>
      <w:sz w:val="18"/>
      <w:szCs w:val="18"/>
    </w:rPr>
  </w:style>
  <w:style w:type="character" w:customStyle="1" w:styleId="35">
    <w:name w:val="标题 1 Char"/>
    <w:basedOn w:val="26"/>
    <w:link w:val="2"/>
    <w:qFormat/>
    <w:uiPriority w:val="0"/>
    <w:rPr>
      <w:rFonts w:ascii="Times New Roman" w:hAnsi="Times New Roman" w:eastAsia="宋体" w:cs="Times New Roman"/>
      <w:b/>
      <w:bCs/>
      <w:kern w:val="44"/>
      <w:sz w:val="44"/>
      <w:szCs w:val="44"/>
    </w:rPr>
  </w:style>
  <w:style w:type="paragraph" w:customStyle="1" w:styleId="36">
    <w:name w:val="样式 标题 2 + Times New Roman 四号 非加粗 段前: 5 磅 段后: 0 磅 行距: 固定值 20..."/>
    <w:basedOn w:val="3"/>
    <w:qFormat/>
    <w:uiPriority w:val="0"/>
    <w:pPr>
      <w:tabs>
        <w:tab w:val="left" w:pos="1134"/>
      </w:tabs>
      <w:spacing w:before="100" w:after="0" w:line="400" w:lineRule="exact"/>
    </w:pPr>
    <w:rPr>
      <w:rFonts w:ascii="Times New Roman" w:hAnsi="Times New Roman" w:eastAsia="黑体" w:cs="Times New Roman"/>
      <w:b w:val="0"/>
      <w:bCs w:val="0"/>
      <w:sz w:val="28"/>
      <w:szCs w:val="20"/>
    </w:rPr>
  </w:style>
  <w:style w:type="character" w:customStyle="1" w:styleId="37">
    <w:name w:val="日期 Char"/>
    <w:basedOn w:val="26"/>
    <w:link w:val="38"/>
    <w:qFormat/>
    <w:uiPriority w:val="0"/>
    <w:rPr>
      <w:rFonts w:ascii="宋体" w:hAnsi="Times New Roman" w:eastAsia="宋体" w:cs="Times New Roman"/>
      <w:kern w:val="0"/>
      <w:sz w:val="24"/>
      <w:szCs w:val="20"/>
    </w:rPr>
  </w:style>
  <w:style w:type="paragraph" w:customStyle="1" w:styleId="38">
    <w:name w:val="日期1"/>
    <w:basedOn w:val="1"/>
    <w:next w:val="1"/>
    <w:link w:val="37"/>
    <w:qFormat/>
    <w:uiPriority w:val="0"/>
    <w:pPr>
      <w:adjustRightInd w:val="0"/>
      <w:spacing w:line="360" w:lineRule="atLeast"/>
    </w:pPr>
    <w:rPr>
      <w:rFonts w:ascii="宋体" w:hAnsi="Times New Roman" w:eastAsia="宋体" w:cs="Times New Roman"/>
      <w:kern w:val="0"/>
      <w:sz w:val="24"/>
      <w:szCs w:val="20"/>
    </w:rPr>
  </w:style>
  <w:style w:type="character" w:customStyle="1" w:styleId="39">
    <w:name w:val="标题 2 Char"/>
    <w:basedOn w:val="26"/>
    <w:link w:val="3"/>
    <w:semiHidden/>
    <w:qFormat/>
    <w:uiPriority w:val="9"/>
    <w:rPr>
      <w:rFonts w:asciiTheme="majorHAnsi" w:hAnsiTheme="majorHAnsi" w:eastAsiaTheme="majorEastAsia" w:cstheme="majorBidi"/>
      <w:b/>
      <w:bCs/>
      <w:sz w:val="32"/>
      <w:szCs w:val="32"/>
    </w:rPr>
  </w:style>
  <w:style w:type="paragraph" w:customStyle="1" w:styleId="4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Char"/>
    <w:basedOn w:val="26"/>
    <w:link w:val="13"/>
    <w:semiHidden/>
    <w:qFormat/>
    <w:uiPriority w:val="99"/>
    <w:rPr>
      <w:sz w:val="18"/>
      <w:szCs w:val="18"/>
    </w:rPr>
  </w:style>
  <w:style w:type="paragraph" w:customStyle="1" w:styleId="42">
    <w:name w:val="日期2"/>
    <w:basedOn w:val="1"/>
    <w:next w:val="1"/>
    <w:qFormat/>
    <w:uiPriority w:val="0"/>
    <w:pPr>
      <w:ind w:left="100" w:leftChars="2500"/>
    </w:pPr>
    <w:rPr>
      <w:rFonts w:ascii="宋体" w:hAnsi="宋体" w:eastAsia="宋体" w:cs="Times New Roman"/>
      <w:b/>
      <w:kern w:val="0"/>
      <w:sz w:val="28"/>
      <w:szCs w:val="20"/>
      <w:lang w:val="zh-CN"/>
    </w:rPr>
  </w:style>
  <w:style w:type="paragraph" w:customStyle="1" w:styleId="43">
    <w:name w:val="WPSOffice手动目录 1"/>
    <w:qFormat/>
    <w:uiPriority w:val="0"/>
    <w:rPr>
      <w:rFonts w:ascii="Times New Roman" w:hAnsi="Times New Roman" w:eastAsia="宋体" w:cs="Times New Roman"/>
      <w:lang w:val="en-US" w:eastAsia="zh-CN" w:bidi="ar-SA"/>
    </w:rPr>
  </w:style>
  <w:style w:type="character" w:customStyle="1" w:styleId="44">
    <w:name w:val="正文文本 Char"/>
    <w:basedOn w:val="26"/>
    <w:link w:val="8"/>
    <w:qFormat/>
    <w:uiPriority w:val="0"/>
    <w:rPr>
      <w:rFonts w:ascii="Calibri" w:hAnsi="Calibri" w:eastAsia="宋体" w:cs="黑体"/>
      <w:kern w:val="2"/>
      <w:sz w:val="21"/>
      <w:szCs w:val="24"/>
    </w:rPr>
  </w:style>
  <w:style w:type="paragraph" w:customStyle="1" w:styleId="4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46">
    <w:name w:val="font01"/>
    <w:basedOn w:val="26"/>
    <w:qFormat/>
    <w:uiPriority w:val="0"/>
    <w:rPr>
      <w:rFonts w:hint="eastAsia" w:ascii="宋体" w:hAnsi="宋体" w:eastAsia="宋体" w:cs="宋体"/>
      <w:color w:val="000000"/>
      <w:sz w:val="32"/>
      <w:szCs w:val="32"/>
      <w:u w:val="none"/>
      <w:vertAlign w:val="subscript"/>
    </w:rPr>
  </w:style>
  <w:style w:type="character" w:customStyle="1" w:styleId="47">
    <w:name w:val="font21"/>
    <w:basedOn w:val="26"/>
    <w:qFormat/>
    <w:uiPriority w:val="0"/>
    <w:rPr>
      <w:rFonts w:hint="eastAsia" w:ascii="宋体" w:hAnsi="宋体" w:eastAsia="宋体" w:cs="宋体"/>
      <w:color w:val="000000"/>
      <w:sz w:val="32"/>
      <w:szCs w:val="32"/>
      <w:u w:val="none"/>
      <w:vertAlign w:val="superscript"/>
    </w:rPr>
  </w:style>
  <w:style w:type="paragraph" w:customStyle="1" w:styleId="48">
    <w:name w:val="Default"/>
    <w:basedOn w:val="1"/>
    <w:next w:val="17"/>
    <w:qFormat/>
    <w:uiPriority w:val="0"/>
    <w:pPr>
      <w:autoSpaceDE w:val="0"/>
      <w:autoSpaceDN w:val="0"/>
      <w:adjustRightInd w:val="0"/>
      <w:jc w:val="left"/>
    </w:pPr>
    <w:rPr>
      <w:rFonts w:hint="eastAsia" w:ascii="宋体" w:hAnsi="Calibri" w:eastAsia="宋体" w:cs="Times New Roman"/>
      <w:color w:val="000000"/>
      <w:kern w:val="0"/>
      <w:sz w:val="24"/>
      <w:szCs w:val="24"/>
    </w:rPr>
  </w:style>
  <w:style w:type="character" w:customStyle="1" w:styleId="49">
    <w:name w:val="脚注文本 Char"/>
    <w:basedOn w:val="26"/>
    <w:link w:val="17"/>
    <w:qFormat/>
    <w:uiPriority w:val="0"/>
    <w:rPr>
      <w:kern w:val="2"/>
      <w:sz w:val="18"/>
      <w:szCs w:val="18"/>
    </w:rPr>
  </w:style>
  <w:style w:type="paragraph" w:customStyle="1" w:styleId="50">
    <w:name w:val="Table Paragraph"/>
    <w:basedOn w:val="1"/>
    <w:qFormat/>
    <w:uiPriority w:val="0"/>
    <w:pPr>
      <w:autoSpaceDE w:val="0"/>
      <w:autoSpaceDN w:val="0"/>
      <w:jc w:val="left"/>
    </w:pPr>
    <w:rPr>
      <w:rFonts w:hint="eastAsia" w:ascii="宋体" w:hAnsi="宋体" w:eastAsia="宋体" w:cs="Times New Roman"/>
      <w:kern w:val="0"/>
      <w:sz w:val="22"/>
    </w:rPr>
  </w:style>
  <w:style w:type="character" w:customStyle="1" w:styleId="51">
    <w:name w:val="未处理的提及1"/>
    <w:basedOn w:val="26"/>
    <w:semiHidden/>
    <w:unhideWhenUsed/>
    <w:qFormat/>
    <w:uiPriority w:val="99"/>
    <w:rPr>
      <w:color w:val="605E5C"/>
      <w:shd w:val="clear" w:color="auto" w:fill="E1DFDD"/>
    </w:rPr>
  </w:style>
  <w:style w:type="character" w:customStyle="1" w:styleId="52">
    <w:name w:val="批注文字 Char"/>
    <w:basedOn w:val="26"/>
    <w:link w:val="7"/>
    <w:semiHidden/>
    <w:qFormat/>
    <w:uiPriority w:val="99"/>
    <w:rPr>
      <w:rFonts w:asciiTheme="minorHAnsi" w:hAnsiTheme="minorHAnsi" w:eastAsiaTheme="minorEastAsia" w:cstheme="minorBidi"/>
      <w:kern w:val="2"/>
      <w:sz w:val="21"/>
      <w:szCs w:val="22"/>
    </w:rPr>
  </w:style>
  <w:style w:type="character" w:customStyle="1" w:styleId="53">
    <w:name w:val="批注主题 Char"/>
    <w:basedOn w:val="52"/>
    <w:link w:val="21"/>
    <w:semiHidden/>
    <w:qFormat/>
    <w:uiPriority w:val="99"/>
    <w:rPr>
      <w:rFonts w:asciiTheme="minorHAnsi" w:hAnsiTheme="minorHAnsi" w:eastAsiaTheme="minorEastAsia" w:cstheme="minorBidi"/>
      <w:b/>
      <w:bCs/>
      <w:kern w:val="2"/>
      <w:sz w:val="21"/>
      <w:szCs w:val="22"/>
    </w:rPr>
  </w:style>
  <w:style w:type="character" w:customStyle="1" w:styleId="54">
    <w:name w:val="未处理的提及2"/>
    <w:basedOn w:val="26"/>
    <w:semiHidden/>
    <w:unhideWhenUsed/>
    <w:qFormat/>
    <w:uiPriority w:val="99"/>
    <w:rPr>
      <w:color w:val="605E5C"/>
      <w:shd w:val="clear" w:color="auto" w:fill="E1DFDD"/>
    </w:rPr>
  </w:style>
  <w:style w:type="character" w:customStyle="1" w:styleId="55">
    <w:name w:val="纯文本 Char"/>
    <w:basedOn w:val="26"/>
    <w:link w:val="11"/>
    <w:qFormat/>
    <w:uiPriority w:val="0"/>
    <w:rPr>
      <w:rFonts w:ascii="宋体" w:hAnsi="Courier New"/>
      <w:sz w:val="21"/>
      <w:szCs w:val="21"/>
    </w:rPr>
  </w:style>
  <w:style w:type="character" w:customStyle="1" w:styleId="56">
    <w:name w:val="正文缩进 Char"/>
    <w:link w:val="6"/>
    <w:qFormat/>
    <w:locked/>
    <w:uiPriority w:val="0"/>
    <w:rPr>
      <w:kern w:val="2"/>
      <w:sz w:val="21"/>
      <w:szCs w:val="24"/>
    </w:rPr>
  </w:style>
  <w:style w:type="paragraph" w:customStyle="1" w:styleId="57">
    <w:name w:val="Particulars Slip"/>
    <w:basedOn w:val="1"/>
    <w:qFormat/>
    <w:uiPriority w:val="0"/>
    <w:pPr>
      <w:tabs>
        <w:tab w:val="left" w:pos="2160"/>
        <w:tab w:val="left" w:pos="2520"/>
        <w:tab w:val="left" w:pos="2880"/>
        <w:tab w:val="left" w:pos="3240"/>
        <w:tab w:val="left" w:pos="3600"/>
        <w:tab w:val="left" w:pos="3960"/>
      </w:tabs>
    </w:pPr>
    <w:rPr>
      <w:rFonts w:ascii="全真簡中楷" w:hAnsi="Times New Roman" w:eastAsia="全真簡中楷" w:cs="Times New Roman"/>
      <w:snapToGrid w:val="0"/>
      <w:kern w:val="0"/>
      <w:sz w:val="28"/>
      <w:szCs w:val="20"/>
      <w:lang w:val="en-GB" w:eastAsia="en-US"/>
    </w:rPr>
  </w:style>
  <w:style w:type="character" w:customStyle="1" w:styleId="58">
    <w:name w:val="正文文本缩进 Char"/>
    <w:basedOn w:val="26"/>
    <w:link w:val="9"/>
    <w:semiHidden/>
    <w:qFormat/>
    <w:uiPriority w:val="99"/>
    <w:rPr>
      <w:rFonts w:asciiTheme="minorHAnsi" w:hAnsiTheme="minorHAnsi" w:eastAsiaTheme="minorEastAsia" w:cstheme="minorBidi"/>
      <w:kern w:val="2"/>
      <w:sz w:val="21"/>
      <w:szCs w:val="22"/>
    </w:rPr>
  </w:style>
  <w:style w:type="character" w:customStyle="1" w:styleId="59">
    <w:name w:val="正文首行缩进 2 Char"/>
    <w:basedOn w:val="58"/>
    <w:link w:val="23"/>
    <w:qFormat/>
    <w:uiPriority w:val="0"/>
    <w:rPr>
      <w:rFonts w:asciiTheme="minorHAnsi" w:hAnsiTheme="minorHAnsi" w:eastAsiaTheme="minorEastAsia" w:cstheme="minorBidi"/>
      <w:kern w:val="2"/>
      <w:sz w:val="21"/>
      <w:szCs w:val="24"/>
    </w:rPr>
  </w:style>
  <w:style w:type="paragraph" w:customStyle="1" w:styleId="60">
    <w:name w:val="正文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61">
    <w:name w:val="标题 3 Char"/>
    <w:basedOn w:val="26"/>
    <w:link w:val="4"/>
    <w:semiHidden/>
    <w:qFormat/>
    <w:uiPriority w:val="9"/>
    <w:rPr>
      <w:rFonts w:asciiTheme="minorHAnsi" w:hAnsiTheme="minorHAnsi" w:eastAsiaTheme="minorEastAsia" w:cstheme="minorBidi"/>
      <w:b/>
      <w:bCs/>
      <w:kern w:val="2"/>
      <w:sz w:val="32"/>
      <w:szCs w:val="32"/>
    </w:rPr>
  </w:style>
  <w:style w:type="character" w:customStyle="1" w:styleId="62">
    <w:name w:val="正文文本缩进 3 Char"/>
    <w:basedOn w:val="26"/>
    <w:link w:val="18"/>
    <w:semiHidden/>
    <w:qFormat/>
    <w:uiPriority w:val="99"/>
    <w:rPr>
      <w:rFonts w:asciiTheme="minorHAnsi" w:hAnsiTheme="minorHAnsi" w:eastAsiaTheme="minorEastAsia" w:cstheme="minorBidi"/>
      <w:kern w:val="2"/>
      <w:sz w:val="16"/>
      <w:szCs w:val="16"/>
    </w:rPr>
  </w:style>
  <w:style w:type="paragraph" w:customStyle="1" w:styleId="63">
    <w:name w:val="默认段落字体 Para Char Char Char1 Char Char Char Char Char Char Char"/>
    <w:basedOn w:val="1"/>
    <w:qFormat/>
    <w:uiPriority w:val="0"/>
    <w:pPr>
      <w:adjustRightInd w:val="0"/>
      <w:spacing w:line="360" w:lineRule="auto"/>
    </w:pPr>
    <w:rPr>
      <w:kern w:val="0"/>
      <w:sz w:val="24"/>
      <w:szCs w:val="20"/>
    </w:rPr>
  </w:style>
  <w:style w:type="paragraph" w:customStyle="1" w:styleId="64">
    <w:name w:val="p0"/>
    <w:basedOn w:val="1"/>
    <w:qFormat/>
    <w:uiPriority w:val="0"/>
    <w:pPr>
      <w:widowControl/>
    </w:pPr>
    <w:rPr>
      <w:kern w:val="0"/>
      <w:szCs w:val="21"/>
    </w:rPr>
  </w:style>
  <w:style w:type="paragraph" w:customStyle="1" w:styleId="65">
    <w:name w:val="Plain Text1"/>
    <w:basedOn w:val="1"/>
    <w:qFormat/>
    <w:uiPriority w:val="0"/>
    <w:pPr>
      <w:adjustRightInd w:val="0"/>
      <w:textAlignment w:val="baseline"/>
    </w:pPr>
    <w:rPr>
      <w:szCs w:val="20"/>
    </w:rPr>
  </w:style>
  <w:style w:type="paragraph" w:customStyle="1" w:styleId="66">
    <w:name w:val="Default Text"/>
    <w:basedOn w:val="1"/>
    <w:qFormat/>
    <w:uiPriority w:val="0"/>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67">
    <w:name w:val="灿"/>
    <w:basedOn w:val="1"/>
    <w:qFormat/>
    <w:uiPriority w:val="0"/>
    <w:pPr>
      <w:tabs>
        <w:tab w:val="left" w:pos="2160"/>
        <w:tab w:val="left" w:pos="2520"/>
        <w:tab w:val="left" w:pos="2880"/>
        <w:tab w:val="left" w:pos="3240"/>
      </w:tabs>
    </w:pPr>
    <w:rPr>
      <w:rFonts w:ascii="華康中楷體" w:hAnsi="Arial" w:eastAsia="華康中楷體"/>
      <w:snapToGrid w:val="0"/>
      <w:kern w:val="0"/>
      <w:sz w:val="24"/>
      <w:szCs w:val="20"/>
      <w:lang w:eastAsia="en-US"/>
    </w:rPr>
  </w:style>
  <w:style w:type="character" w:customStyle="1" w:styleId="68">
    <w:name w:val="font31"/>
    <w:basedOn w:val="26"/>
    <w:qFormat/>
    <w:uiPriority w:val="0"/>
    <w:rPr>
      <w:rFonts w:hint="eastAsia" w:ascii="宋体" w:hAnsi="宋体" w:eastAsia="宋体" w:cs="宋体"/>
      <w:color w:val="000000"/>
      <w:sz w:val="21"/>
      <w:szCs w:val="21"/>
      <w:u w:val="none"/>
    </w:rPr>
  </w:style>
  <w:style w:type="character" w:customStyle="1" w:styleId="69">
    <w:name w:val="Internet 链接"/>
    <w:basedOn w:val="70"/>
    <w:qFormat/>
    <w:uiPriority w:val="99"/>
    <w:rPr>
      <w:color w:val="0000FF"/>
      <w:u w:val="single"/>
    </w:rPr>
  </w:style>
  <w:style w:type="character" w:customStyle="1" w:styleId="70">
    <w:name w:val="默认段落字体1"/>
    <w:qFormat/>
    <w:uiPriority w:val="0"/>
  </w:style>
  <w:style w:type="paragraph" w:customStyle="1" w:styleId="71">
    <w:name w:val="标题 11"/>
    <w:basedOn w:val="60"/>
    <w:next w:val="60"/>
    <w:qFormat/>
    <w:uiPriority w:val="0"/>
    <w:pPr>
      <w:keepNext/>
      <w:keepLines/>
      <w:spacing w:line="576" w:lineRule="auto"/>
      <w:outlineLvl w:val="0"/>
    </w:pPr>
    <w:rPr>
      <w:b/>
      <w:bCs/>
      <w:sz w:val="44"/>
      <w:szCs w:val="44"/>
    </w:rPr>
  </w:style>
  <w:style w:type="paragraph" w:customStyle="1" w:styleId="72">
    <w:name w:val="正文文本1"/>
    <w:basedOn w:val="60"/>
    <w:qFormat/>
    <w:uiPriority w:val="1"/>
    <w:pPr>
      <w:ind w:left="1280"/>
    </w:pPr>
    <w:rPr>
      <w:rFonts w:ascii="宋体" w:hAnsi="宋体" w:eastAsia="宋体" w:cs="宋体"/>
      <w:sz w:val="24"/>
      <w:lang w:val="zh-CN" w:bidi="zh-CN"/>
    </w:rPr>
  </w:style>
  <w:style w:type="paragraph" w:customStyle="1" w:styleId="73">
    <w:name w:val="列出段落1"/>
    <w:basedOn w:val="60"/>
    <w:qFormat/>
    <w:uiPriority w:val="99"/>
    <w:pPr>
      <w:ind w:firstLine="200" w:firstLineChars="200"/>
    </w:pPr>
    <w:rPr>
      <w:rFonts w:ascii="Calibri" w:hAnsi="Calibri" w:cs="Calibri"/>
      <w:szCs w:val="21"/>
    </w:rPr>
  </w:style>
  <w:style w:type="paragraph" w:customStyle="1" w:styleId="74">
    <w:name w:val="标题 31"/>
    <w:basedOn w:val="60"/>
    <w:next w:val="60"/>
    <w:unhideWhenUsed/>
    <w:qFormat/>
    <w:uiPriority w:val="0"/>
    <w:pPr>
      <w:keepNext/>
      <w:keepLines/>
      <w:outlineLvl w:val="2"/>
    </w:pPr>
    <w:rPr>
      <w:rFonts w:ascii="楷体_GB2312" w:hAnsi="楷体_GB2312" w:eastAsia="楷体_GB2312"/>
      <w:sz w:val="28"/>
    </w:rPr>
  </w:style>
  <w:style w:type="paragraph" w:customStyle="1" w:styleId="75">
    <w:name w:val="页眉1"/>
    <w:basedOn w:val="60"/>
    <w:qFormat/>
    <w:uiPriority w:val="0"/>
    <w:pPr>
      <w:pBdr>
        <w:bottom w:val="single" w:color="000000" w:sz="6" w:space="1"/>
      </w:pBdr>
      <w:tabs>
        <w:tab w:val="center" w:pos="4153"/>
        <w:tab w:val="right" w:pos="8306"/>
      </w:tabs>
      <w:snapToGrid w:val="0"/>
      <w:jc w:val="center"/>
    </w:pPr>
    <w:rPr>
      <w:sz w:val="18"/>
      <w:szCs w:val="18"/>
    </w:rPr>
  </w:style>
  <w:style w:type="paragraph" w:customStyle="1" w:styleId="76">
    <w:name w:val="页脚1"/>
    <w:basedOn w:val="60"/>
    <w:qFormat/>
    <w:uiPriority w:val="0"/>
    <w:pPr>
      <w:tabs>
        <w:tab w:val="center" w:pos="4153"/>
        <w:tab w:val="right" w:pos="8306"/>
      </w:tabs>
      <w:snapToGrid w:val="0"/>
      <w:jc w:val="left"/>
    </w:pPr>
    <w:rPr>
      <w:rFonts w:eastAsia="宋体"/>
      <w:sz w:val="18"/>
      <w:szCs w:val="18"/>
    </w:rPr>
  </w:style>
  <w:style w:type="paragraph" w:customStyle="1" w:styleId="77">
    <w:name w:val="Table Text"/>
    <w:basedOn w:val="1"/>
    <w:semiHidden/>
    <w:qFormat/>
    <w:uiPriority w:val="0"/>
    <w:rPr>
      <w:rFonts w:ascii="宋体" w:hAnsi="宋体" w:eastAsia="宋体" w:cs="宋体"/>
      <w:sz w:val="20"/>
      <w:szCs w:val="20"/>
      <w:lang w:eastAsia="en-US"/>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标题 2 （二级）"/>
    <w:basedOn w:val="3"/>
    <w:qFormat/>
    <w:uiPriority w:val="0"/>
    <w:pPr>
      <w:spacing w:before="120" w:after="120" w:line="360" w:lineRule="auto"/>
      <w:jc w:val="left"/>
    </w:pPr>
    <w:rPr>
      <w:rFonts w:ascii="Times New Roman" w:hAnsi="Times New Roman" w:eastAsia="宋体" w:cs="Times New Roman"/>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2015-3027-4049-96D6-F66402723C7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2767</Words>
  <Characters>15773</Characters>
  <Lines>131</Lines>
  <Paragraphs>37</Paragraphs>
  <TotalTime>13</TotalTime>
  <ScaleCrop>false</ScaleCrop>
  <LinksUpToDate>false</LinksUpToDate>
  <CharactersWithSpaces>18503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2023-10-10T08:26:00Z</dcterms:created>
  <dc:creator>COFCO\zhucs</dc:creator>
  <cp:lastModifiedBy>郝红艳</cp:lastModifiedBy>
  <cp:lastPrinted>2022-10-04T07:04:00Z</cp:lastPrinted>
  <dcterms:modified xsi:type="dcterms:W3CDTF">2024-01-29T04:53:57Z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2D7E608CAEC04CE7AF3BFD4E21E564E8_13</vt:lpwstr>
  </property>
</Properties>
</file>